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568436">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38C6A5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rPr>
        <w:t>受</w:t>
      </w:r>
      <w:r>
        <w:rPr>
          <w:rFonts w:hint="eastAsia" w:ascii="宋体" w:hAnsi="宋体" w:eastAsia="宋体" w:cs="仿宋_GB2312"/>
          <w:b w:val="0"/>
          <w:bCs w:val="0"/>
          <w:color w:val="000000"/>
          <w:sz w:val="24"/>
          <w:szCs w:val="24"/>
          <w:lang w:val="en-US" w:eastAsia="zh-CN"/>
        </w:rPr>
        <w:t>宁波招源产业发展有限公司</w:t>
      </w:r>
      <w:r>
        <w:rPr>
          <w:rFonts w:hint="eastAsia" w:ascii="宋体" w:hAnsi="宋体" w:eastAsia="宋体" w:cs="宋体"/>
          <w:color w:val="auto"/>
          <w:sz w:val="24"/>
          <w:szCs w:val="24"/>
        </w:rPr>
        <w:t>委托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w:t>
      </w:r>
      <w:r>
        <w:rPr>
          <w:rFonts w:hint="eastAsia" w:ascii="宋体" w:hAnsi="宋体" w:cs="宋体"/>
          <w:b/>
          <w:bCs w:val="0"/>
          <w:color w:val="FF0000"/>
          <w:sz w:val="24"/>
          <w:szCs w:val="24"/>
        </w:rPr>
        <w:t>2025年11月7日9时起至2025年11月27日9时止竞价该标的，竞价周期内（首次出价后进入24小时倒计时）（延时除外）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B59F940">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05E10B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E7C8A20">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9"/>
        <w:tblW w:w="4937" w:type="pct"/>
        <w:tblInd w:w="0" w:type="dxa"/>
        <w:tblLayout w:type="fixed"/>
        <w:tblCellMar>
          <w:top w:w="0" w:type="dxa"/>
          <w:left w:w="108" w:type="dxa"/>
          <w:bottom w:w="0" w:type="dxa"/>
          <w:right w:w="108" w:type="dxa"/>
        </w:tblCellMar>
      </w:tblPr>
      <w:tblGrid>
        <w:gridCol w:w="1029"/>
        <w:gridCol w:w="2169"/>
        <w:gridCol w:w="1142"/>
        <w:gridCol w:w="1911"/>
        <w:gridCol w:w="1254"/>
        <w:gridCol w:w="1449"/>
        <w:gridCol w:w="881"/>
      </w:tblGrid>
      <w:tr w14:paraId="1628C087">
        <w:tblPrEx>
          <w:tblCellMar>
            <w:top w:w="0" w:type="dxa"/>
            <w:left w:w="108" w:type="dxa"/>
            <w:bottom w:w="0" w:type="dxa"/>
            <w:right w:w="108" w:type="dxa"/>
          </w:tblCellMar>
        </w:tblPrEx>
        <w:trPr>
          <w:trHeight w:val="1181" w:hRule="atLeast"/>
        </w:trPr>
        <w:tc>
          <w:tcPr>
            <w:tcW w:w="523" w:type="pct"/>
            <w:tcBorders>
              <w:top w:val="single" w:color="auto" w:sz="4" w:space="0"/>
              <w:left w:val="single" w:color="auto" w:sz="4" w:space="0"/>
              <w:bottom w:val="single" w:color="auto" w:sz="4" w:space="0"/>
              <w:right w:val="single" w:color="auto" w:sz="4" w:space="0"/>
            </w:tcBorders>
            <w:noWrap w:val="0"/>
            <w:vAlign w:val="center"/>
          </w:tcPr>
          <w:p w14:paraId="6D4826CD">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序号</w:t>
            </w:r>
          </w:p>
        </w:tc>
        <w:tc>
          <w:tcPr>
            <w:tcW w:w="1102" w:type="pct"/>
            <w:tcBorders>
              <w:top w:val="single" w:color="auto" w:sz="4" w:space="0"/>
              <w:left w:val="nil"/>
              <w:bottom w:val="single" w:color="auto" w:sz="4" w:space="0"/>
              <w:right w:val="single" w:color="auto" w:sz="4" w:space="0"/>
            </w:tcBorders>
            <w:noWrap w:val="0"/>
            <w:vAlign w:val="center"/>
          </w:tcPr>
          <w:p w14:paraId="02F4FC12">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标的名称</w:t>
            </w:r>
          </w:p>
        </w:tc>
        <w:tc>
          <w:tcPr>
            <w:tcW w:w="580" w:type="pct"/>
            <w:tcBorders>
              <w:top w:val="single" w:color="auto" w:sz="4" w:space="0"/>
              <w:left w:val="nil"/>
              <w:bottom w:val="single" w:color="auto" w:sz="4" w:space="0"/>
              <w:right w:val="single" w:color="auto" w:sz="4" w:space="0"/>
            </w:tcBorders>
            <w:noWrap w:val="0"/>
            <w:vAlign w:val="center"/>
          </w:tcPr>
          <w:p w14:paraId="7315A013">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规划用途</w:t>
            </w:r>
          </w:p>
        </w:tc>
        <w:tc>
          <w:tcPr>
            <w:tcW w:w="971" w:type="pct"/>
            <w:tcBorders>
              <w:top w:val="single" w:color="auto" w:sz="4" w:space="0"/>
              <w:left w:val="nil"/>
              <w:bottom w:val="single" w:color="auto" w:sz="4" w:space="0"/>
              <w:right w:val="single" w:color="auto" w:sz="4" w:space="0"/>
            </w:tcBorders>
            <w:noWrap w:val="0"/>
            <w:vAlign w:val="center"/>
          </w:tcPr>
          <w:p w14:paraId="4098E6B1">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建筑面积（平方米）</w:t>
            </w:r>
          </w:p>
        </w:tc>
        <w:tc>
          <w:tcPr>
            <w:tcW w:w="637" w:type="pct"/>
            <w:tcBorders>
              <w:top w:val="single" w:color="auto" w:sz="4" w:space="0"/>
              <w:left w:val="nil"/>
              <w:bottom w:val="single" w:color="auto" w:sz="4" w:space="0"/>
              <w:right w:val="single" w:color="auto" w:sz="4" w:space="0"/>
            </w:tcBorders>
            <w:noWrap w:val="0"/>
            <w:vAlign w:val="center"/>
          </w:tcPr>
          <w:p w14:paraId="195A0E4F">
            <w:pPr>
              <w:widowControl/>
              <w:jc w:val="center"/>
              <w:rPr>
                <w:rFonts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年租金起始</w:t>
            </w:r>
            <w:r>
              <w:rPr>
                <w:rFonts w:hint="eastAsia" w:ascii="宋体" w:hAnsi="宋体" w:cs="宋体"/>
                <w:color w:val="000000"/>
                <w:sz w:val="21"/>
                <w:szCs w:val="21"/>
                <w:highlight w:val="none"/>
              </w:rPr>
              <w:t>价（元/年）</w:t>
            </w:r>
          </w:p>
        </w:tc>
        <w:tc>
          <w:tcPr>
            <w:tcW w:w="736" w:type="pct"/>
            <w:tcBorders>
              <w:top w:val="single" w:color="auto" w:sz="4" w:space="0"/>
              <w:left w:val="nil"/>
              <w:bottom w:val="single" w:color="auto" w:sz="4" w:space="0"/>
              <w:right w:val="single" w:color="auto" w:sz="4" w:space="0"/>
            </w:tcBorders>
            <w:noWrap w:val="0"/>
            <w:vAlign w:val="center"/>
          </w:tcPr>
          <w:p w14:paraId="1D29E414">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保证金（元）</w:t>
            </w:r>
          </w:p>
        </w:tc>
        <w:tc>
          <w:tcPr>
            <w:tcW w:w="448" w:type="pct"/>
            <w:tcBorders>
              <w:top w:val="single" w:color="auto" w:sz="4" w:space="0"/>
              <w:left w:val="nil"/>
              <w:bottom w:val="single" w:color="auto" w:sz="4" w:space="0"/>
              <w:right w:val="single" w:color="auto" w:sz="4" w:space="0"/>
            </w:tcBorders>
            <w:noWrap/>
            <w:vAlign w:val="center"/>
          </w:tcPr>
          <w:p w14:paraId="78C176BE">
            <w:pPr>
              <w:spacing w:line="260" w:lineRule="exact"/>
              <w:ind w:right="200"/>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租期</w:t>
            </w:r>
          </w:p>
        </w:tc>
      </w:tr>
      <w:tr w14:paraId="213989D0">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31E27862">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w:t>
            </w:r>
          </w:p>
        </w:tc>
        <w:tc>
          <w:tcPr>
            <w:tcW w:w="1102" w:type="pct"/>
            <w:tcBorders>
              <w:top w:val="single" w:color="auto" w:sz="4" w:space="0"/>
              <w:left w:val="nil"/>
              <w:bottom w:val="single" w:color="auto" w:sz="4" w:space="0"/>
              <w:right w:val="single" w:color="auto" w:sz="8" w:space="0"/>
            </w:tcBorders>
            <w:noWrap w:val="0"/>
            <w:vAlign w:val="center"/>
          </w:tcPr>
          <w:p w14:paraId="531503B9">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西街130号1-16室</w:t>
            </w:r>
          </w:p>
        </w:tc>
        <w:tc>
          <w:tcPr>
            <w:tcW w:w="580" w:type="pct"/>
            <w:tcBorders>
              <w:top w:val="single" w:color="auto" w:sz="4" w:space="0"/>
              <w:left w:val="nil"/>
              <w:bottom w:val="single" w:color="auto" w:sz="4" w:space="0"/>
              <w:right w:val="single" w:color="auto" w:sz="8" w:space="0"/>
            </w:tcBorders>
            <w:noWrap w:val="0"/>
            <w:vAlign w:val="center"/>
          </w:tcPr>
          <w:p w14:paraId="7848419E">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非住宅</w:t>
            </w:r>
          </w:p>
        </w:tc>
        <w:tc>
          <w:tcPr>
            <w:tcW w:w="971" w:type="pct"/>
            <w:tcBorders>
              <w:top w:val="single" w:color="auto" w:sz="4" w:space="0"/>
              <w:left w:val="nil"/>
              <w:bottom w:val="single" w:color="auto" w:sz="4" w:space="0"/>
              <w:right w:val="single" w:color="auto" w:sz="8" w:space="0"/>
            </w:tcBorders>
            <w:noWrap w:val="0"/>
            <w:vAlign w:val="center"/>
          </w:tcPr>
          <w:p w14:paraId="78D82FE9">
            <w:pPr>
              <w:keepNext w:val="0"/>
              <w:keepLines w:val="0"/>
              <w:widowControl/>
              <w:suppressLineNumbers w:val="0"/>
              <w:jc w:val="center"/>
              <w:textAlignment w:val="center"/>
              <w:rPr>
                <w:rFonts w:hint="default"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 xml:space="preserve">59.85 </w:t>
            </w:r>
          </w:p>
        </w:tc>
        <w:tc>
          <w:tcPr>
            <w:tcW w:w="637" w:type="pct"/>
            <w:tcBorders>
              <w:top w:val="single" w:color="auto" w:sz="4" w:space="0"/>
              <w:left w:val="nil"/>
              <w:bottom w:val="single" w:color="auto" w:sz="4" w:space="0"/>
              <w:right w:val="single" w:color="auto" w:sz="8" w:space="0"/>
            </w:tcBorders>
            <w:noWrap w:val="0"/>
            <w:vAlign w:val="center"/>
          </w:tcPr>
          <w:p w14:paraId="3F7899C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107700</w:t>
            </w:r>
          </w:p>
        </w:tc>
        <w:tc>
          <w:tcPr>
            <w:tcW w:w="736" w:type="pct"/>
            <w:tcBorders>
              <w:top w:val="single" w:color="auto" w:sz="4" w:space="0"/>
              <w:left w:val="nil"/>
              <w:bottom w:val="single" w:color="auto" w:sz="4" w:space="0"/>
              <w:right w:val="nil"/>
            </w:tcBorders>
            <w:noWrap w:val="0"/>
            <w:vAlign w:val="center"/>
          </w:tcPr>
          <w:p w14:paraId="386303C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10000</w:t>
            </w:r>
          </w:p>
        </w:tc>
        <w:tc>
          <w:tcPr>
            <w:tcW w:w="448" w:type="pct"/>
            <w:tcBorders>
              <w:top w:val="single" w:color="auto" w:sz="4" w:space="0"/>
              <w:left w:val="single" w:color="auto" w:sz="4" w:space="0"/>
              <w:bottom w:val="single" w:color="auto" w:sz="4" w:space="0"/>
              <w:right w:val="single" w:color="auto" w:sz="4" w:space="0"/>
            </w:tcBorders>
            <w:noWrap w:val="0"/>
            <w:vAlign w:val="center"/>
          </w:tcPr>
          <w:p w14:paraId="54A6925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3年</w:t>
            </w:r>
          </w:p>
        </w:tc>
      </w:tr>
      <w:tr w14:paraId="0C763060">
        <w:tblPrEx>
          <w:tblCellMar>
            <w:top w:w="0" w:type="dxa"/>
            <w:left w:w="108" w:type="dxa"/>
            <w:bottom w:w="0" w:type="dxa"/>
            <w:right w:w="108" w:type="dxa"/>
          </w:tblCellMar>
        </w:tblPrEx>
        <w:trPr>
          <w:trHeight w:val="719" w:hRule="atLeast"/>
        </w:trPr>
        <w:tc>
          <w:tcPr>
            <w:tcW w:w="523" w:type="pct"/>
            <w:vMerge w:val="restart"/>
            <w:tcBorders>
              <w:top w:val="single" w:color="auto" w:sz="4" w:space="0"/>
              <w:left w:val="single" w:color="auto" w:sz="8" w:space="0"/>
              <w:right w:val="single" w:color="auto" w:sz="8" w:space="0"/>
            </w:tcBorders>
            <w:noWrap w:val="0"/>
            <w:vAlign w:val="center"/>
          </w:tcPr>
          <w:p w14:paraId="2086DC48">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2</w:t>
            </w:r>
          </w:p>
        </w:tc>
        <w:tc>
          <w:tcPr>
            <w:tcW w:w="1102" w:type="pct"/>
            <w:tcBorders>
              <w:top w:val="single" w:color="auto" w:sz="4" w:space="0"/>
              <w:left w:val="nil"/>
              <w:bottom w:val="single" w:color="auto" w:sz="4" w:space="0"/>
              <w:right w:val="single" w:color="auto" w:sz="8" w:space="0"/>
            </w:tcBorders>
            <w:noWrap w:val="0"/>
            <w:vAlign w:val="bottom"/>
          </w:tcPr>
          <w:p w14:paraId="7B2EF574">
            <w:pPr>
              <w:keepNext w:val="0"/>
              <w:keepLines w:val="0"/>
              <w:widowControl/>
              <w:suppressLineNumbers w:val="0"/>
              <w:jc w:val="center"/>
              <w:textAlignment w:val="bottom"/>
              <w:rPr>
                <w:rFonts w:hint="eastAsia" w:ascii="宋体" w:hAnsi="宋体" w:cs="宋体"/>
                <w:color w:val="000000"/>
                <w:kern w:val="0"/>
                <w:sz w:val="21"/>
                <w:szCs w:val="21"/>
                <w:highlight w:val="none"/>
                <w:lang w:val="en-US" w:eastAsia="zh-CN"/>
              </w:rPr>
            </w:pPr>
            <w:r>
              <w:rPr>
                <w:rFonts w:ascii="宋体" w:hAnsi="宋体" w:eastAsia="宋体" w:cs="宋体"/>
                <w:i w:val="0"/>
                <w:iCs w:val="0"/>
                <w:color w:val="000000"/>
                <w:kern w:val="0"/>
                <w:sz w:val="22"/>
                <w:szCs w:val="22"/>
                <w:u w:val="none"/>
                <w:lang w:val="en-US" w:eastAsia="zh-CN" w:bidi="ar"/>
              </w:rPr>
              <w:t>工农路45号1-10室</w:t>
            </w:r>
          </w:p>
        </w:tc>
        <w:tc>
          <w:tcPr>
            <w:tcW w:w="580" w:type="pct"/>
            <w:vMerge w:val="restart"/>
            <w:tcBorders>
              <w:top w:val="single" w:color="auto" w:sz="4" w:space="0"/>
              <w:left w:val="nil"/>
              <w:right w:val="single" w:color="auto" w:sz="8" w:space="0"/>
            </w:tcBorders>
            <w:noWrap w:val="0"/>
            <w:vAlign w:val="center"/>
          </w:tcPr>
          <w:p w14:paraId="0F756524">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非住宅</w:t>
            </w:r>
          </w:p>
        </w:tc>
        <w:tc>
          <w:tcPr>
            <w:tcW w:w="971" w:type="pct"/>
            <w:vMerge w:val="restart"/>
            <w:tcBorders>
              <w:top w:val="single" w:color="auto" w:sz="4" w:space="0"/>
              <w:left w:val="nil"/>
              <w:right w:val="single" w:color="auto" w:sz="8" w:space="0"/>
            </w:tcBorders>
            <w:noWrap w:val="0"/>
            <w:vAlign w:val="center"/>
          </w:tcPr>
          <w:p w14:paraId="4C94648C">
            <w:pPr>
              <w:keepNext w:val="0"/>
              <w:keepLines w:val="0"/>
              <w:widowControl/>
              <w:suppressLineNumbers w:val="0"/>
              <w:jc w:val="center"/>
              <w:textAlignment w:val="bottom"/>
              <w:rPr>
                <w:rFonts w:hint="default" w:ascii="宋体" w:hAnsi="宋体" w:eastAsia="宋体" w:cs="宋体"/>
                <w:color w:val="000000"/>
                <w:kern w:val="0"/>
                <w:sz w:val="21"/>
                <w:szCs w:val="21"/>
                <w:highlight w:val="none"/>
                <w:lang w:val="en-US" w:eastAsia="zh-CN"/>
              </w:rPr>
            </w:pPr>
            <w:r>
              <w:rPr>
                <w:rFonts w:hint="eastAsia" w:ascii="宋体" w:hAnsi="宋体" w:cs="宋体"/>
                <w:i w:val="0"/>
                <w:iCs w:val="0"/>
                <w:color w:val="000000"/>
                <w:kern w:val="0"/>
                <w:sz w:val="22"/>
                <w:szCs w:val="22"/>
                <w:u w:val="none"/>
                <w:lang w:val="en-US" w:eastAsia="zh-CN" w:bidi="ar"/>
              </w:rPr>
              <w:t>173.61</w:t>
            </w:r>
          </w:p>
        </w:tc>
        <w:tc>
          <w:tcPr>
            <w:tcW w:w="637" w:type="pct"/>
            <w:vMerge w:val="restart"/>
            <w:tcBorders>
              <w:top w:val="single" w:color="auto" w:sz="4" w:space="0"/>
              <w:left w:val="nil"/>
              <w:right w:val="single" w:color="auto" w:sz="8" w:space="0"/>
            </w:tcBorders>
            <w:noWrap w:val="0"/>
            <w:vAlign w:val="center"/>
          </w:tcPr>
          <w:p w14:paraId="02A7F2F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103400</w:t>
            </w:r>
          </w:p>
        </w:tc>
        <w:tc>
          <w:tcPr>
            <w:tcW w:w="736" w:type="pct"/>
            <w:vMerge w:val="restart"/>
            <w:tcBorders>
              <w:top w:val="single" w:color="auto" w:sz="4" w:space="0"/>
              <w:left w:val="nil"/>
              <w:right w:val="nil"/>
            </w:tcBorders>
            <w:noWrap w:val="0"/>
            <w:vAlign w:val="center"/>
          </w:tcPr>
          <w:p w14:paraId="0624697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10000</w:t>
            </w:r>
          </w:p>
        </w:tc>
        <w:tc>
          <w:tcPr>
            <w:tcW w:w="448" w:type="pct"/>
            <w:vMerge w:val="restart"/>
            <w:tcBorders>
              <w:top w:val="single" w:color="auto" w:sz="4" w:space="0"/>
              <w:left w:val="single" w:color="auto" w:sz="4" w:space="0"/>
              <w:right w:val="single" w:color="auto" w:sz="4" w:space="0"/>
            </w:tcBorders>
            <w:noWrap w:val="0"/>
            <w:vAlign w:val="center"/>
          </w:tcPr>
          <w:p w14:paraId="2BACD6F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3年</w:t>
            </w:r>
          </w:p>
          <w:p w14:paraId="592B3F3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A11DFC3">
        <w:tblPrEx>
          <w:tblCellMar>
            <w:top w:w="0" w:type="dxa"/>
            <w:left w:w="108" w:type="dxa"/>
            <w:bottom w:w="0" w:type="dxa"/>
            <w:right w:w="108" w:type="dxa"/>
          </w:tblCellMar>
        </w:tblPrEx>
        <w:trPr>
          <w:trHeight w:val="699" w:hRule="atLeast"/>
        </w:trPr>
        <w:tc>
          <w:tcPr>
            <w:tcW w:w="523" w:type="pct"/>
            <w:vMerge w:val="continue"/>
            <w:tcBorders>
              <w:left w:val="single" w:color="auto" w:sz="8" w:space="0"/>
              <w:right w:val="single" w:color="auto" w:sz="8" w:space="0"/>
            </w:tcBorders>
            <w:noWrap w:val="0"/>
            <w:vAlign w:val="center"/>
          </w:tcPr>
          <w:p w14:paraId="6E1329BF">
            <w:pPr>
              <w:widowControl/>
              <w:jc w:val="center"/>
              <w:rPr>
                <w:rFonts w:hint="default" w:ascii="宋体" w:hAnsi="宋体" w:cs="宋体"/>
                <w:color w:val="000000"/>
                <w:kern w:val="0"/>
                <w:sz w:val="21"/>
                <w:szCs w:val="21"/>
                <w:highlight w:val="none"/>
                <w:lang w:val="en-US" w:eastAsia="zh-CN"/>
              </w:rPr>
            </w:pPr>
          </w:p>
        </w:tc>
        <w:tc>
          <w:tcPr>
            <w:tcW w:w="1102" w:type="pct"/>
            <w:tcBorders>
              <w:top w:val="single" w:color="auto" w:sz="4" w:space="0"/>
              <w:left w:val="nil"/>
              <w:bottom w:val="single" w:color="auto" w:sz="4" w:space="0"/>
              <w:right w:val="single" w:color="auto" w:sz="8" w:space="0"/>
            </w:tcBorders>
            <w:noWrap w:val="0"/>
            <w:vAlign w:val="center"/>
          </w:tcPr>
          <w:p w14:paraId="28F2264F">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工农路47号1-11室</w:t>
            </w:r>
          </w:p>
        </w:tc>
        <w:tc>
          <w:tcPr>
            <w:tcW w:w="580" w:type="pct"/>
            <w:vMerge w:val="continue"/>
            <w:tcBorders>
              <w:left w:val="nil"/>
              <w:right w:val="single" w:color="auto" w:sz="8" w:space="0"/>
            </w:tcBorders>
            <w:noWrap w:val="0"/>
            <w:vAlign w:val="center"/>
          </w:tcPr>
          <w:p w14:paraId="5F6265F3">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p>
        </w:tc>
        <w:tc>
          <w:tcPr>
            <w:tcW w:w="971" w:type="pct"/>
            <w:vMerge w:val="continue"/>
            <w:tcBorders>
              <w:left w:val="nil"/>
              <w:right w:val="single" w:color="auto" w:sz="8" w:space="0"/>
            </w:tcBorders>
            <w:noWrap w:val="0"/>
            <w:vAlign w:val="bottom"/>
          </w:tcPr>
          <w:p w14:paraId="5D919AE8">
            <w:pPr>
              <w:keepNext w:val="0"/>
              <w:keepLines w:val="0"/>
              <w:widowControl/>
              <w:suppressLineNumbers w:val="0"/>
              <w:jc w:val="center"/>
              <w:textAlignment w:val="bottom"/>
              <w:rPr>
                <w:rFonts w:hint="default" w:ascii="宋体" w:hAnsi="宋体" w:eastAsia="宋体" w:cs="宋体"/>
                <w:color w:val="000000"/>
                <w:kern w:val="0"/>
                <w:sz w:val="21"/>
                <w:szCs w:val="21"/>
                <w:highlight w:val="none"/>
                <w:lang w:val="en-US" w:eastAsia="zh-CN"/>
              </w:rPr>
            </w:pPr>
          </w:p>
        </w:tc>
        <w:tc>
          <w:tcPr>
            <w:tcW w:w="637" w:type="pct"/>
            <w:vMerge w:val="continue"/>
            <w:tcBorders>
              <w:left w:val="nil"/>
              <w:right w:val="single" w:color="auto" w:sz="8" w:space="0"/>
            </w:tcBorders>
            <w:noWrap w:val="0"/>
            <w:vAlign w:val="center"/>
          </w:tcPr>
          <w:p w14:paraId="2854019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p>
        </w:tc>
        <w:tc>
          <w:tcPr>
            <w:tcW w:w="736" w:type="pct"/>
            <w:vMerge w:val="continue"/>
            <w:tcBorders>
              <w:left w:val="nil"/>
              <w:right w:val="nil"/>
            </w:tcBorders>
            <w:noWrap w:val="0"/>
            <w:vAlign w:val="center"/>
          </w:tcPr>
          <w:p w14:paraId="705F26F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p>
        </w:tc>
        <w:tc>
          <w:tcPr>
            <w:tcW w:w="448" w:type="pct"/>
            <w:vMerge w:val="continue"/>
            <w:tcBorders>
              <w:left w:val="single" w:color="auto" w:sz="4" w:space="0"/>
              <w:right w:val="single" w:color="auto" w:sz="4" w:space="0"/>
            </w:tcBorders>
            <w:noWrap w:val="0"/>
            <w:vAlign w:val="center"/>
          </w:tcPr>
          <w:p w14:paraId="23D9FF4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11015B37">
        <w:tblPrEx>
          <w:tblCellMar>
            <w:top w:w="0" w:type="dxa"/>
            <w:left w:w="108" w:type="dxa"/>
            <w:bottom w:w="0" w:type="dxa"/>
            <w:right w:w="108" w:type="dxa"/>
          </w:tblCellMar>
        </w:tblPrEx>
        <w:trPr>
          <w:trHeight w:val="554" w:hRule="atLeast"/>
        </w:trPr>
        <w:tc>
          <w:tcPr>
            <w:tcW w:w="523" w:type="pct"/>
            <w:vMerge w:val="continue"/>
            <w:tcBorders>
              <w:left w:val="single" w:color="auto" w:sz="8" w:space="0"/>
              <w:bottom w:val="single" w:color="auto" w:sz="4" w:space="0"/>
              <w:right w:val="single" w:color="auto" w:sz="8" w:space="0"/>
            </w:tcBorders>
            <w:noWrap w:val="0"/>
            <w:vAlign w:val="center"/>
          </w:tcPr>
          <w:p w14:paraId="6F4F1AD9">
            <w:pPr>
              <w:widowControl/>
              <w:jc w:val="center"/>
              <w:rPr>
                <w:rFonts w:hint="default" w:ascii="宋体" w:hAnsi="宋体" w:cs="宋体"/>
                <w:color w:val="000000"/>
                <w:kern w:val="0"/>
                <w:sz w:val="21"/>
                <w:szCs w:val="21"/>
                <w:highlight w:val="none"/>
                <w:lang w:val="en-US" w:eastAsia="zh-CN"/>
              </w:rPr>
            </w:pPr>
          </w:p>
        </w:tc>
        <w:tc>
          <w:tcPr>
            <w:tcW w:w="1102" w:type="pct"/>
            <w:tcBorders>
              <w:top w:val="single" w:color="auto" w:sz="4" w:space="0"/>
              <w:left w:val="nil"/>
              <w:bottom w:val="single" w:color="auto" w:sz="4" w:space="0"/>
              <w:right w:val="single" w:color="auto" w:sz="8" w:space="0"/>
            </w:tcBorders>
            <w:noWrap w:val="0"/>
            <w:vAlign w:val="center"/>
          </w:tcPr>
          <w:p w14:paraId="6D4015C5">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ascii="宋体" w:hAnsi="宋体" w:eastAsia="宋体" w:cs="宋体"/>
                <w:i w:val="0"/>
                <w:iCs w:val="0"/>
                <w:color w:val="000000"/>
                <w:kern w:val="0"/>
                <w:sz w:val="22"/>
                <w:szCs w:val="22"/>
                <w:u w:val="none"/>
                <w:lang w:val="en-US" w:eastAsia="zh-CN" w:bidi="ar"/>
              </w:rPr>
              <w:t>工农路49号1-12室</w:t>
            </w:r>
          </w:p>
        </w:tc>
        <w:tc>
          <w:tcPr>
            <w:tcW w:w="580" w:type="pct"/>
            <w:vMerge w:val="continue"/>
            <w:tcBorders>
              <w:left w:val="nil"/>
              <w:bottom w:val="single" w:color="auto" w:sz="4" w:space="0"/>
              <w:right w:val="single" w:color="auto" w:sz="8" w:space="0"/>
            </w:tcBorders>
            <w:noWrap w:val="0"/>
            <w:vAlign w:val="center"/>
          </w:tcPr>
          <w:p w14:paraId="3627A3C0">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p>
        </w:tc>
        <w:tc>
          <w:tcPr>
            <w:tcW w:w="971" w:type="pct"/>
            <w:vMerge w:val="continue"/>
            <w:tcBorders>
              <w:left w:val="nil"/>
              <w:bottom w:val="single" w:color="auto" w:sz="4" w:space="0"/>
              <w:right w:val="single" w:color="auto" w:sz="8" w:space="0"/>
            </w:tcBorders>
            <w:noWrap w:val="0"/>
            <w:vAlign w:val="bottom"/>
          </w:tcPr>
          <w:p w14:paraId="3A99C60A">
            <w:pPr>
              <w:keepNext w:val="0"/>
              <w:keepLines w:val="0"/>
              <w:widowControl/>
              <w:suppressLineNumbers w:val="0"/>
              <w:jc w:val="center"/>
              <w:textAlignment w:val="bottom"/>
              <w:rPr>
                <w:rFonts w:hint="default" w:ascii="宋体" w:hAnsi="宋体" w:eastAsia="宋体" w:cs="宋体"/>
                <w:color w:val="000000"/>
                <w:kern w:val="0"/>
                <w:sz w:val="21"/>
                <w:szCs w:val="21"/>
                <w:highlight w:val="none"/>
                <w:lang w:val="en-US" w:eastAsia="zh-CN"/>
              </w:rPr>
            </w:pPr>
          </w:p>
        </w:tc>
        <w:tc>
          <w:tcPr>
            <w:tcW w:w="637" w:type="pct"/>
            <w:vMerge w:val="continue"/>
            <w:tcBorders>
              <w:left w:val="nil"/>
              <w:bottom w:val="single" w:color="auto" w:sz="4" w:space="0"/>
              <w:right w:val="single" w:color="auto" w:sz="8" w:space="0"/>
            </w:tcBorders>
            <w:noWrap w:val="0"/>
            <w:vAlign w:val="center"/>
          </w:tcPr>
          <w:p w14:paraId="7C1E4B8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p>
        </w:tc>
        <w:tc>
          <w:tcPr>
            <w:tcW w:w="736" w:type="pct"/>
            <w:vMerge w:val="continue"/>
            <w:tcBorders>
              <w:left w:val="nil"/>
              <w:bottom w:val="single" w:color="auto" w:sz="4" w:space="0"/>
              <w:right w:val="nil"/>
            </w:tcBorders>
            <w:noWrap w:val="0"/>
            <w:vAlign w:val="center"/>
          </w:tcPr>
          <w:p w14:paraId="5556693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p>
        </w:tc>
        <w:tc>
          <w:tcPr>
            <w:tcW w:w="448" w:type="pct"/>
            <w:vMerge w:val="continue"/>
            <w:tcBorders>
              <w:left w:val="single" w:color="auto" w:sz="4" w:space="0"/>
              <w:bottom w:val="single" w:color="auto" w:sz="4" w:space="0"/>
              <w:right w:val="single" w:color="auto" w:sz="4" w:space="0"/>
            </w:tcBorders>
            <w:noWrap w:val="0"/>
            <w:vAlign w:val="center"/>
          </w:tcPr>
          <w:p w14:paraId="4442510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AD75E57">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7878FD32">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w:t>
            </w:r>
          </w:p>
        </w:tc>
        <w:tc>
          <w:tcPr>
            <w:tcW w:w="1102" w:type="pct"/>
            <w:tcBorders>
              <w:top w:val="single" w:color="auto" w:sz="4" w:space="0"/>
              <w:left w:val="nil"/>
              <w:bottom w:val="single" w:color="auto" w:sz="4" w:space="0"/>
              <w:right w:val="single" w:color="auto" w:sz="8" w:space="0"/>
            </w:tcBorders>
            <w:noWrap w:val="0"/>
            <w:vAlign w:val="center"/>
          </w:tcPr>
          <w:p w14:paraId="15A6F901">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4"/>
                <w:szCs w:val="24"/>
                <w:u w:val="none"/>
                <w:lang w:val="en-US" w:eastAsia="zh-CN" w:bidi="ar"/>
              </w:rPr>
              <w:t>仓基弄3号1-5、1-6室</w:t>
            </w:r>
          </w:p>
        </w:tc>
        <w:tc>
          <w:tcPr>
            <w:tcW w:w="580" w:type="pct"/>
            <w:tcBorders>
              <w:top w:val="single" w:color="auto" w:sz="4" w:space="0"/>
              <w:left w:val="nil"/>
              <w:bottom w:val="single" w:color="auto" w:sz="4" w:space="0"/>
              <w:right w:val="single" w:color="auto" w:sz="8" w:space="0"/>
            </w:tcBorders>
            <w:noWrap w:val="0"/>
            <w:vAlign w:val="center"/>
          </w:tcPr>
          <w:p w14:paraId="0CBF13C9">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非住宅</w:t>
            </w:r>
          </w:p>
        </w:tc>
        <w:tc>
          <w:tcPr>
            <w:tcW w:w="971" w:type="pct"/>
            <w:tcBorders>
              <w:top w:val="single" w:color="auto" w:sz="4" w:space="0"/>
              <w:left w:val="nil"/>
              <w:bottom w:val="single" w:color="auto" w:sz="4" w:space="0"/>
              <w:right w:val="single" w:color="auto" w:sz="8" w:space="0"/>
            </w:tcBorders>
            <w:noWrap w:val="0"/>
            <w:vAlign w:val="center"/>
          </w:tcPr>
          <w:p w14:paraId="63343669">
            <w:pPr>
              <w:keepNext w:val="0"/>
              <w:keepLines w:val="0"/>
              <w:widowControl/>
              <w:suppressLineNumbers w:val="0"/>
              <w:jc w:val="center"/>
              <w:textAlignment w:val="center"/>
              <w:rPr>
                <w:rFonts w:hint="default"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 xml:space="preserve">60.98 </w:t>
            </w:r>
          </w:p>
        </w:tc>
        <w:tc>
          <w:tcPr>
            <w:tcW w:w="637" w:type="pct"/>
            <w:tcBorders>
              <w:top w:val="single" w:color="auto" w:sz="4" w:space="0"/>
              <w:left w:val="nil"/>
              <w:bottom w:val="single" w:color="auto" w:sz="4" w:space="0"/>
              <w:right w:val="single" w:color="auto" w:sz="8" w:space="0"/>
            </w:tcBorders>
            <w:noWrap w:val="0"/>
            <w:vAlign w:val="center"/>
          </w:tcPr>
          <w:p w14:paraId="0A28938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36300</w:t>
            </w:r>
          </w:p>
        </w:tc>
        <w:tc>
          <w:tcPr>
            <w:tcW w:w="736" w:type="pct"/>
            <w:tcBorders>
              <w:top w:val="single" w:color="auto" w:sz="4" w:space="0"/>
              <w:left w:val="nil"/>
              <w:bottom w:val="single" w:color="auto" w:sz="4" w:space="0"/>
              <w:right w:val="nil"/>
            </w:tcBorders>
            <w:noWrap w:val="0"/>
            <w:vAlign w:val="center"/>
          </w:tcPr>
          <w:p w14:paraId="613DA33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3000</w:t>
            </w:r>
          </w:p>
        </w:tc>
        <w:tc>
          <w:tcPr>
            <w:tcW w:w="448" w:type="pct"/>
            <w:tcBorders>
              <w:top w:val="single" w:color="auto" w:sz="4" w:space="0"/>
              <w:left w:val="single" w:color="auto" w:sz="4" w:space="0"/>
              <w:bottom w:val="single" w:color="auto" w:sz="4" w:space="0"/>
              <w:right w:val="single" w:color="auto" w:sz="4" w:space="0"/>
            </w:tcBorders>
            <w:noWrap w:val="0"/>
            <w:vAlign w:val="center"/>
          </w:tcPr>
          <w:p w14:paraId="2B3A13E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3年</w:t>
            </w:r>
          </w:p>
        </w:tc>
      </w:tr>
      <w:tr w14:paraId="36B787B1">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0876D4BA">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4</w:t>
            </w:r>
          </w:p>
        </w:tc>
        <w:tc>
          <w:tcPr>
            <w:tcW w:w="1102" w:type="pct"/>
            <w:tcBorders>
              <w:top w:val="single" w:color="auto" w:sz="4" w:space="0"/>
              <w:left w:val="nil"/>
              <w:bottom w:val="single" w:color="auto" w:sz="4" w:space="0"/>
              <w:right w:val="single" w:color="auto" w:sz="8" w:space="0"/>
            </w:tcBorders>
            <w:noWrap w:val="0"/>
            <w:vAlign w:val="center"/>
          </w:tcPr>
          <w:p w14:paraId="35A8C46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三角地41号302室</w:t>
            </w:r>
          </w:p>
        </w:tc>
        <w:tc>
          <w:tcPr>
            <w:tcW w:w="580" w:type="pct"/>
            <w:tcBorders>
              <w:top w:val="single" w:color="auto" w:sz="4" w:space="0"/>
              <w:left w:val="nil"/>
              <w:bottom w:val="single" w:color="auto" w:sz="4" w:space="0"/>
              <w:right w:val="single" w:color="auto" w:sz="8" w:space="0"/>
            </w:tcBorders>
            <w:noWrap w:val="0"/>
            <w:vAlign w:val="center"/>
          </w:tcPr>
          <w:p w14:paraId="523B505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住宅</w:t>
            </w:r>
          </w:p>
        </w:tc>
        <w:tc>
          <w:tcPr>
            <w:tcW w:w="971" w:type="pct"/>
            <w:tcBorders>
              <w:top w:val="single" w:color="auto" w:sz="4" w:space="0"/>
              <w:left w:val="nil"/>
              <w:bottom w:val="single" w:color="auto" w:sz="4" w:space="0"/>
              <w:right w:val="single" w:color="auto" w:sz="8" w:space="0"/>
            </w:tcBorders>
            <w:noWrap w:val="0"/>
            <w:vAlign w:val="center"/>
          </w:tcPr>
          <w:p w14:paraId="19D903D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45.67 </w:t>
            </w:r>
          </w:p>
        </w:tc>
        <w:tc>
          <w:tcPr>
            <w:tcW w:w="637" w:type="pct"/>
            <w:tcBorders>
              <w:top w:val="single" w:color="auto" w:sz="4" w:space="0"/>
              <w:left w:val="nil"/>
              <w:bottom w:val="single" w:color="auto" w:sz="4" w:space="0"/>
              <w:right w:val="single" w:color="auto" w:sz="8" w:space="0"/>
            </w:tcBorders>
            <w:noWrap w:val="0"/>
            <w:vAlign w:val="center"/>
          </w:tcPr>
          <w:p w14:paraId="59EE39A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9500</w:t>
            </w:r>
          </w:p>
        </w:tc>
        <w:tc>
          <w:tcPr>
            <w:tcW w:w="736" w:type="pct"/>
            <w:tcBorders>
              <w:top w:val="single" w:color="auto" w:sz="4" w:space="0"/>
              <w:left w:val="nil"/>
              <w:bottom w:val="single" w:color="auto" w:sz="4" w:space="0"/>
              <w:right w:val="nil"/>
            </w:tcBorders>
            <w:noWrap w:val="0"/>
            <w:vAlign w:val="center"/>
          </w:tcPr>
          <w:p w14:paraId="309DFF5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1000</w:t>
            </w:r>
          </w:p>
        </w:tc>
        <w:tc>
          <w:tcPr>
            <w:tcW w:w="448" w:type="pct"/>
            <w:tcBorders>
              <w:top w:val="single" w:color="auto" w:sz="4" w:space="0"/>
              <w:left w:val="single" w:color="auto" w:sz="4" w:space="0"/>
              <w:bottom w:val="single" w:color="auto" w:sz="4" w:space="0"/>
              <w:right w:val="single" w:color="auto" w:sz="4" w:space="0"/>
            </w:tcBorders>
            <w:noWrap w:val="0"/>
            <w:vAlign w:val="center"/>
          </w:tcPr>
          <w:p w14:paraId="6479B23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3年</w:t>
            </w:r>
          </w:p>
        </w:tc>
      </w:tr>
    </w:tbl>
    <w:p w14:paraId="52EA2D44">
      <w:pPr>
        <w:spacing w:line="420" w:lineRule="exact"/>
        <w:ind w:firstLine="482" w:firstLineChars="200"/>
        <w:rPr>
          <w:rFonts w:hint="eastAsia" w:ascii="宋体" w:hAnsi="宋体" w:eastAsia="宋体" w:cs="宋体"/>
          <w:b/>
          <w:color w:val="auto"/>
          <w:sz w:val="24"/>
          <w:szCs w:val="24"/>
          <w:highlight w:val="none"/>
        </w:rPr>
      </w:pPr>
      <w:bookmarkStart w:id="0" w:name="_GoBack"/>
      <w:bookmarkEnd w:id="0"/>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4A8972E0">
      <w:pPr>
        <w:pStyle w:val="14"/>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380AE8D3">
      <w:pPr>
        <w:pStyle w:val="14"/>
        <w:numPr>
          <w:ilvl w:val="0"/>
          <w:numId w:val="0"/>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3101F214">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11</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27</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50110486">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11</w:t>
      </w:r>
      <w:r>
        <w:rPr>
          <w:rFonts w:hint="eastAsia" w:ascii="宋体" w:hAnsi="宋体" w:eastAsia="宋体" w:cs="宋体"/>
          <w:color w:val="auto"/>
          <w:sz w:val="24"/>
        </w:rPr>
        <w:t>月</w:t>
      </w:r>
      <w:r>
        <w:rPr>
          <w:rFonts w:hint="eastAsia" w:ascii="宋体" w:hAnsi="宋体" w:cs="宋体"/>
          <w:color w:val="auto"/>
          <w:sz w:val="24"/>
          <w:lang w:val="en-US" w:eastAsia="zh-CN"/>
        </w:rPr>
        <w:t>26</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19D24A30">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27</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429C7CE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68B8430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竞价以增价竞买方式进行网络竞价。有一人报名出价即为有效竞价，本次竞价活动设置延时出价功能。本次竞买期内，如有竞买人在竞买期中的任一时间出价，则竞买自动进入到24小时竞价倒计时；24小时竞价周期内，其他报名竞买人可加价参与竞买，在竞价活动结束前2分钟内无人出价的，最后出价即为成交价。</w:t>
      </w:r>
    </w:p>
    <w:p w14:paraId="12CDA17F">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36602AF1">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1E3AE0B4">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7CD49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317FF99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03D90C0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62ADC75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5D9A728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6F8EF7F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3033E5D">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0C34222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69E5EC80">
      <w:pPr>
        <w:pStyle w:val="4"/>
        <w:spacing w:line="500" w:lineRule="exact"/>
        <w:ind w:left="0" w:leftChars="0" w:right="69" w:rightChars="33" w:firstLine="482"/>
        <w:rPr>
          <w:rFonts w:hint="eastAsia" w:ascii="宋体" w:hAnsi="宋体" w:eastAsia="宋体" w:cs="宋体"/>
          <w:bCs/>
          <w:color w:val="auto"/>
          <w:kern w:val="2"/>
          <w:sz w:val="24"/>
          <w:szCs w:val="24"/>
          <w:lang w:val="en-US" w:eastAsia="zh-CN" w:bidi="ar-SA"/>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一</w:t>
      </w:r>
      <w:r>
        <w:rPr>
          <w:rFonts w:hint="eastAsia" w:ascii="宋体" w:hAnsi="宋体" w:eastAsia="宋体" w:cs="宋体"/>
          <w:b/>
          <w:bCs/>
          <w:color w:val="auto"/>
          <w:kern w:val="0"/>
          <w:sz w:val="24"/>
          <w:szCs w:val="24"/>
          <w:u w:val="single"/>
          <w:lang w:val="en-US" w:eastAsia="zh-CN"/>
        </w:rPr>
        <w:t>年支付一次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w:t>
      </w:r>
      <w:r>
        <w:rPr>
          <w:rFonts w:hint="eastAsia" w:ascii="宋体" w:hAnsi="宋体" w:cs="宋体"/>
          <w:color w:val="auto"/>
          <w:spacing w:val="-4"/>
          <w:sz w:val="24"/>
          <w:szCs w:val="24"/>
          <w:lang w:eastAsia="zh-CN"/>
        </w:rPr>
        <w:t>房屋租赁合同</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none"/>
        </w:rPr>
        <w:t>。本次租赁权</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ascii="宋体" w:hAnsi="宋体" w:eastAsia="宋体" w:cs="宋体"/>
          <w:bCs/>
          <w:color w:val="auto"/>
          <w:kern w:val="2"/>
          <w:sz w:val="24"/>
          <w:szCs w:val="24"/>
          <w:lang w:val="en-US" w:eastAsia="zh-CN" w:bidi="ar-SA"/>
        </w:rPr>
        <w:t>买受人应在成交之日起7个工作日之内将首年租金成交款及（履约保证金约为三个月租金金额，即成交价÷12×3）付至委托人指定帐户：名称:宁波招源产业发展有限公司  账号：3901160109200013895 开户行：中国工商银行宁波胜利桥支行 ；并于7个工作日内根据《竞价成交确认书》与委托人（出租人）签订《房屋租赁合同》；</w:t>
      </w:r>
    </w:p>
    <w:p w14:paraId="3B0D0DFE">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6FAF4B2">
      <w:pPr>
        <w:pStyle w:val="16"/>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0344CD19">
      <w:pPr>
        <w:pStyle w:val="16"/>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B959EF8">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2C7EB596">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4A786FBC">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72348C8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eastAsia="zh-CN"/>
        </w:rPr>
      </w:pPr>
      <w:r>
        <w:rPr>
          <w:rFonts w:hint="eastAsia" w:ascii="宋体" w:hAnsi="宋体"/>
          <w:b/>
          <w:bCs/>
          <w:color w:val="auto"/>
          <w:sz w:val="24"/>
          <w:szCs w:val="24"/>
          <w:lang w:val="en-US" w:eastAsia="zh-CN"/>
        </w:rPr>
        <w:t>3、</w:t>
      </w:r>
      <w:r>
        <w:rPr>
          <w:rFonts w:hint="eastAsia" w:ascii="宋体" w:hAnsi="宋体" w:eastAsia="宋体" w:cs="宋体"/>
          <w:color w:val="auto"/>
          <w:sz w:val="24"/>
          <w:szCs w:val="24"/>
        </w:rPr>
        <w:t>若标的物移交前发生的水、电、物管费等费用超过500元,则上述全部费用由</w:t>
      </w:r>
      <w:r>
        <w:rPr>
          <w:rFonts w:hint="eastAsia" w:ascii="宋体" w:hAnsi="宋体" w:eastAsia="宋体" w:cs="宋体"/>
          <w:color w:val="auto"/>
          <w:sz w:val="24"/>
          <w:szCs w:val="24"/>
          <w:lang w:eastAsia="zh-CN"/>
        </w:rPr>
        <w:t>委托人</w:t>
      </w:r>
      <w:r>
        <w:rPr>
          <w:rFonts w:hint="eastAsia" w:ascii="宋体" w:hAnsi="宋体" w:eastAsia="宋体" w:cs="宋体"/>
          <w:color w:val="auto"/>
          <w:sz w:val="24"/>
          <w:szCs w:val="24"/>
        </w:rPr>
        <w:t>承担,若标的物移交前发生的水、物管费等费用未超过500元(包括500元),则上述全部费用由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自行承担</w:t>
      </w:r>
      <w:r>
        <w:rPr>
          <w:rFonts w:hint="eastAsia" w:ascii="宋体" w:hAnsi="宋体" w:eastAsia="宋体" w:cs="宋体"/>
          <w:color w:val="auto"/>
          <w:sz w:val="24"/>
          <w:szCs w:val="24"/>
          <w:lang w:eastAsia="zh-CN"/>
        </w:rPr>
        <w:t>。</w:t>
      </w:r>
    </w:p>
    <w:p w14:paraId="146975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4、</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771369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9D01A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6A89C50C">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7、</w:t>
      </w:r>
      <w:r>
        <w:rPr>
          <w:rFonts w:hint="eastAsia" w:ascii="宋体" w:hAnsi="宋体" w:eastAsia="宋体" w:cs="宋体"/>
          <w:b w:val="0"/>
          <w:bCs w:val="0"/>
          <w:color w:val="auto"/>
          <w:sz w:val="24"/>
          <w:szCs w:val="24"/>
          <w:shd w:val="clear" w:color="auto" w:fill="auto"/>
          <w:lang w:val="en-US" w:eastAsia="zh-CN"/>
        </w:rPr>
        <w:t>租赁房屋移交</w:t>
      </w:r>
    </w:p>
    <w:p w14:paraId="1C71B43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7012858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4B99B7B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32144608">
      <w:pPr>
        <w:pStyle w:val="16"/>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560201F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41D65F21">
      <w:pPr>
        <w:pStyle w:val="16"/>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5D6208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w:t>
      </w:r>
      <w:r>
        <w:rPr>
          <w:rFonts w:hint="eastAsia" w:ascii="宋体" w:hAnsi="宋体" w:cs="宋体"/>
          <w:color w:val="auto"/>
          <w:sz w:val="24"/>
          <w:szCs w:val="24"/>
          <w:lang w:eastAsia="zh-CN"/>
        </w:rPr>
        <w:t>》</w:t>
      </w:r>
      <w:r>
        <w:rPr>
          <w:rFonts w:hint="eastAsia" w:ascii="宋体" w:hAnsi="宋体" w:eastAsia="宋体" w:cs="宋体"/>
          <w:color w:val="auto"/>
          <w:sz w:val="24"/>
          <w:szCs w:val="24"/>
        </w:rPr>
        <w:t>,收回原出租的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0FB0E778">
      <w:pPr>
        <w:pStyle w:val="8"/>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0F9B81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1B30D6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4AE7025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344D4C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7F10B78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92CAF8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A3C141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3E0B343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6E9A02F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12EACB8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0F90117">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D8C997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7F52E6E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37937BF2">
      <w:pPr>
        <w:spacing w:before="156" w:beforeLines="50" w:after="156" w:afterLines="50" w:line="800" w:lineRule="exact"/>
        <w:jc w:val="both"/>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《房屋租赁合同》、《出租资产安全管理协议》</w:t>
      </w:r>
    </w:p>
    <w:p w14:paraId="07FDF3E6">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6796D638">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24</w:t>
      </w:r>
      <w:r>
        <w:rPr>
          <w:rFonts w:hint="eastAsia" w:ascii="宋体" w:hAnsi="宋体" w:eastAsia="宋体" w:cs="宋体"/>
          <w:color w:val="auto"/>
          <w:sz w:val="24"/>
          <w:szCs w:val="24"/>
        </w:rPr>
        <w:t>日</w:t>
      </w:r>
    </w:p>
    <w:p w14:paraId="68358C84">
      <w:pPr>
        <w:jc w:val="center"/>
        <w:rPr>
          <w:rFonts w:hint="eastAsia" w:ascii="黑体" w:hAnsi="黑体" w:eastAsia="黑体" w:cs="黑体"/>
          <w:sz w:val="44"/>
          <w:szCs w:val="44"/>
        </w:rPr>
      </w:pPr>
      <w:r>
        <w:rPr>
          <w:rFonts w:hint="eastAsia" w:ascii="黑体" w:hAnsi="黑体" w:eastAsia="黑体" w:cs="黑体"/>
          <w:sz w:val="44"/>
          <w:szCs w:val="44"/>
        </w:rPr>
        <w:t>租</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赁</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合</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同</w:t>
      </w:r>
    </w:p>
    <w:p w14:paraId="0F07ADB9">
      <w:pPr>
        <w:rPr>
          <w:rFonts w:hint="eastAsia" w:ascii="仿宋" w:hAnsi="仿宋" w:eastAsia="仿宋" w:cs="仿宋"/>
          <w:sz w:val="32"/>
          <w:szCs w:val="32"/>
        </w:rPr>
      </w:pPr>
    </w:p>
    <w:p w14:paraId="480D457D">
      <w:pPr>
        <w:rPr>
          <w:rFonts w:hint="eastAsia" w:ascii="仿宋" w:hAnsi="仿宋" w:eastAsia="仿宋" w:cs="仿宋"/>
          <w:b/>
          <w:bCs/>
          <w:sz w:val="32"/>
          <w:szCs w:val="32"/>
        </w:rPr>
      </w:pPr>
      <w:r>
        <w:rPr>
          <w:rFonts w:hint="eastAsia" w:ascii="仿宋" w:hAnsi="仿宋" w:eastAsia="仿宋" w:cs="仿宋"/>
          <w:b/>
          <w:bCs/>
          <w:sz w:val="32"/>
          <w:szCs w:val="32"/>
        </w:rPr>
        <w:t>甲</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方(出租方):</w:t>
      </w:r>
      <w:r>
        <w:rPr>
          <w:rFonts w:hint="eastAsia" w:ascii="仿宋" w:hAnsi="仿宋" w:eastAsia="仿宋" w:cs="仿宋"/>
          <w:sz w:val="32"/>
          <w:szCs w:val="32"/>
          <w:lang w:eastAsia="zh-CN"/>
        </w:rPr>
        <w:t>宁波招源产业发展有限公司</w:t>
      </w:r>
    </w:p>
    <w:p w14:paraId="7385C1E9">
      <w:pPr>
        <w:jc w:val="left"/>
        <w:rPr>
          <w:rFonts w:hint="eastAsia" w:ascii="仿宋" w:hAnsi="仿宋" w:eastAsia="仿宋" w:cs="仿宋"/>
          <w:sz w:val="32"/>
          <w:szCs w:val="32"/>
          <w:u w:val="single"/>
        </w:rPr>
      </w:pPr>
      <w:r>
        <w:rPr>
          <w:rFonts w:hint="eastAsia" w:ascii="仿宋" w:hAnsi="仿宋" w:eastAsia="仿宋" w:cs="仿宋"/>
          <w:sz w:val="32"/>
          <w:szCs w:val="32"/>
          <w:lang w:val="en-US" w:eastAsia="zh-CN"/>
        </w:rPr>
        <w:t xml:space="preserve">地  </w:t>
      </w:r>
      <w:r>
        <w:rPr>
          <w:rFonts w:hint="eastAsia" w:ascii="仿宋" w:hAnsi="仿宋" w:eastAsia="仿宋" w:cs="仿宋"/>
          <w:sz w:val="32"/>
          <w:szCs w:val="32"/>
        </w:rPr>
        <w:t>址：</w:t>
      </w:r>
      <w:r>
        <w:rPr>
          <w:rFonts w:hint="eastAsia" w:ascii="仿宋" w:hAnsi="仿宋" w:eastAsia="仿宋" w:cs="仿宋"/>
          <w:sz w:val="32"/>
          <w:szCs w:val="32"/>
          <w:u w:val="single"/>
          <w:lang w:val="en-US" w:eastAsia="zh-CN"/>
        </w:rPr>
        <w:t xml:space="preserve"> 宁波市镇海区招宝山街道平海路1188号                   </w:t>
      </w:r>
      <w:r>
        <w:rPr>
          <w:rFonts w:hint="eastAsia" w:ascii="仿宋" w:hAnsi="仿宋" w:eastAsia="仿宋" w:cs="仿宋"/>
          <w:sz w:val="32"/>
          <w:szCs w:val="32"/>
        </w:rPr>
        <w:t>联系电话：</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ab/>
      </w:r>
      <w:r>
        <w:rPr>
          <w:rFonts w:hint="eastAsia" w:ascii="仿宋" w:hAnsi="仿宋" w:eastAsia="仿宋" w:cs="仿宋"/>
          <w:sz w:val="32"/>
          <w:szCs w:val="32"/>
          <w:u w:val="single"/>
        </w:rPr>
        <w:t xml:space="preserve"> </w:t>
      </w:r>
    </w:p>
    <w:p w14:paraId="732B653F">
      <w:pPr>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rPr>
        <w:tab/>
      </w:r>
      <w:r>
        <w:rPr>
          <w:rFonts w:hint="eastAsia" w:ascii="仿宋" w:hAnsi="仿宋" w:eastAsia="仿宋" w:cs="仿宋"/>
          <w:sz w:val="32"/>
          <w:szCs w:val="32"/>
        </w:rPr>
        <w:t xml:space="preserve"> </w:t>
      </w:r>
    </w:p>
    <w:p w14:paraId="642967BD">
      <w:pPr>
        <w:rPr>
          <w:rFonts w:hint="eastAsia" w:ascii="仿宋" w:hAnsi="仿宋" w:eastAsia="仿宋" w:cs="仿宋"/>
          <w:sz w:val="32"/>
          <w:szCs w:val="32"/>
        </w:rPr>
      </w:pPr>
      <w:r>
        <w:rPr>
          <w:rFonts w:hint="eastAsia" w:ascii="仿宋" w:hAnsi="仿宋" w:eastAsia="仿宋" w:cs="仿宋"/>
          <w:b/>
          <w:bCs/>
          <w:sz w:val="32"/>
          <w:szCs w:val="32"/>
        </w:rPr>
        <w:t>乙  方(承租方):</w:t>
      </w:r>
      <w:r>
        <w:rPr>
          <w:rFonts w:hint="eastAsia" w:ascii="仿宋" w:hAnsi="仿宋" w:eastAsia="仿宋" w:cs="仿宋"/>
          <w:sz w:val="32"/>
          <w:szCs w:val="32"/>
        </w:rPr>
        <w:t xml:space="preserve">  </w:t>
      </w:r>
    </w:p>
    <w:p w14:paraId="44F7C717">
      <w:pPr>
        <w:rPr>
          <w:rFonts w:hint="eastAsia" w:ascii="仿宋" w:hAnsi="仿宋" w:eastAsia="仿宋" w:cs="仿宋"/>
          <w:sz w:val="32"/>
          <w:szCs w:val="32"/>
        </w:rPr>
      </w:pPr>
      <w:r>
        <w:rPr>
          <w:rFonts w:hint="eastAsia" w:ascii="仿宋" w:hAnsi="仿宋" w:eastAsia="仿宋" w:cs="仿宋"/>
          <w:sz w:val="32"/>
          <w:szCs w:val="32"/>
        </w:rPr>
        <w:t xml:space="preserve">身份证号码(统一社会信用代码): </w:t>
      </w:r>
    </w:p>
    <w:p w14:paraId="13FBF3D9">
      <w:pPr>
        <w:jc w:val="left"/>
        <w:rPr>
          <w:rFonts w:hint="eastAsia" w:ascii="仿宋" w:hAnsi="仿宋" w:eastAsia="仿宋" w:cs="仿宋"/>
          <w:sz w:val="32"/>
          <w:szCs w:val="32"/>
          <w:u w:val="single"/>
        </w:rPr>
      </w:pPr>
      <w:r>
        <w:rPr>
          <w:rFonts w:hint="eastAsia" w:ascii="仿宋" w:hAnsi="仿宋" w:eastAsia="仿宋" w:cs="仿宋"/>
          <w:sz w:val="32"/>
          <w:szCs w:val="32"/>
        </w:rPr>
        <w:t>地  址：</w:t>
      </w:r>
      <w:r>
        <w:rPr>
          <w:rFonts w:hint="eastAsia" w:ascii="仿宋" w:hAnsi="仿宋" w:eastAsia="仿宋" w:cs="仿宋"/>
          <w:sz w:val="32"/>
          <w:szCs w:val="32"/>
          <w:u w:val="single"/>
        </w:rPr>
        <w:t xml:space="preserve">                  </w:t>
      </w:r>
    </w:p>
    <w:p w14:paraId="291F2AD8">
      <w:pPr>
        <w:rPr>
          <w:rFonts w:hint="eastAsia" w:ascii="仿宋" w:hAnsi="仿宋" w:eastAsia="仿宋" w:cs="仿宋"/>
          <w:sz w:val="32"/>
          <w:szCs w:val="32"/>
        </w:rPr>
      </w:pPr>
      <w:r>
        <w:rPr>
          <w:rFonts w:hint="eastAsia" w:ascii="仿宋" w:hAnsi="仿宋" w:eastAsia="仿宋" w:cs="仿宋"/>
          <w:sz w:val="32"/>
          <w:szCs w:val="32"/>
          <w:lang w:val="en-US" w:eastAsia="zh-CN"/>
        </w:rPr>
        <w:t>联系人：</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联系电话：</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 </w:t>
      </w:r>
    </w:p>
    <w:p w14:paraId="7E9ABAF0">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p>
    <w:p w14:paraId="5E25AD35">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甲乙双方经友好协商，同意就乙方向甲方承租</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相关事宜订立本合同，并共同遵守。</w:t>
      </w:r>
    </w:p>
    <w:p w14:paraId="5460B909">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p>
    <w:p w14:paraId="35E7B34B">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一、出租</w:t>
      </w:r>
      <w:r>
        <w:rPr>
          <w:rFonts w:hint="eastAsia" w:ascii="仿宋" w:hAnsi="仿宋" w:eastAsia="仿宋" w:cs="仿宋"/>
          <w:b/>
          <w:bCs/>
          <w:sz w:val="32"/>
          <w:szCs w:val="32"/>
          <w:lang w:val="en-US" w:eastAsia="zh-CN"/>
        </w:rPr>
        <w:t>房屋</w:t>
      </w:r>
      <w:r>
        <w:rPr>
          <w:rFonts w:hint="eastAsia" w:ascii="仿宋" w:hAnsi="仿宋" w:eastAsia="仿宋" w:cs="仿宋"/>
          <w:b/>
          <w:bCs/>
          <w:sz w:val="32"/>
          <w:szCs w:val="32"/>
        </w:rPr>
        <w:t>位置及面积</w:t>
      </w:r>
    </w:p>
    <w:p w14:paraId="77885AD5">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甲方将位于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lang w:val="en-US" w:eastAsia="zh-CN"/>
        </w:rPr>
        <w:t>建</w:t>
      </w:r>
      <w:r>
        <w:rPr>
          <w:rFonts w:hint="eastAsia" w:ascii="仿宋" w:hAnsi="仿宋" w:eastAsia="仿宋" w:cs="仿宋"/>
          <w:sz w:val="32"/>
          <w:szCs w:val="32"/>
        </w:rPr>
        <w:t>筑面积为</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平方米的</w:t>
      </w:r>
      <w:r>
        <w:rPr>
          <w:rFonts w:hint="eastAsia" w:ascii="仿宋" w:hAnsi="仿宋" w:eastAsia="仿宋" w:cs="仿宋"/>
          <w:sz w:val="32"/>
          <w:szCs w:val="32"/>
          <w:lang w:val="en-US" w:eastAsia="zh-CN"/>
        </w:rPr>
        <w:t>房屋</w:t>
      </w:r>
      <w:r>
        <w:rPr>
          <w:rFonts w:hint="eastAsia" w:ascii="仿宋" w:hAnsi="仿宋" w:eastAsia="仿宋" w:cs="仿宋"/>
          <w:sz w:val="32"/>
          <w:szCs w:val="32"/>
        </w:rPr>
        <w:t>出租给乙方使用。</w:t>
      </w:r>
    </w:p>
    <w:p w14:paraId="70BFAECF">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p>
    <w:p w14:paraId="5926E099">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lang w:eastAsia="zh-CN"/>
        </w:rPr>
      </w:pPr>
      <w:r>
        <w:rPr>
          <w:rFonts w:hint="eastAsia" w:ascii="仿宋" w:hAnsi="仿宋" w:eastAsia="仿宋" w:cs="仿宋"/>
          <w:b/>
          <w:bCs/>
          <w:sz w:val="32"/>
          <w:szCs w:val="32"/>
        </w:rPr>
        <w:t>二、租赁期限、租金及付款</w:t>
      </w:r>
      <w:r>
        <w:rPr>
          <w:rFonts w:hint="eastAsia" w:ascii="仿宋" w:hAnsi="仿宋" w:eastAsia="仿宋" w:cs="仿宋"/>
          <w:b/>
          <w:bCs/>
          <w:sz w:val="32"/>
          <w:szCs w:val="32"/>
          <w:lang w:val="en-US" w:eastAsia="zh-CN"/>
        </w:rPr>
        <w:t>方式</w:t>
      </w:r>
    </w:p>
    <w:p w14:paraId="645F5DD5">
      <w:pPr>
        <w:keepNext w:val="0"/>
        <w:keepLines w:val="0"/>
        <w:pageBreakBefore w:val="0"/>
        <w:widowControl w:val="0"/>
        <w:kinsoku/>
        <w:wordWrap w:val="0"/>
        <w:overflowPunct/>
        <w:topLinePunct w:val="0"/>
        <w:autoSpaceDE/>
        <w:autoSpaceDN/>
        <w:bidi w:val="0"/>
        <w:adjustRightInd/>
        <w:snapToGrid/>
        <w:ind w:left="319" w:leftChars="152" w:firstLine="320" w:firstLineChars="1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1.租赁期限自</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日至</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日止。租赁期满，乙方需要续租的，应提前30天与甲方协商</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并按照甲方流程进行续租</w:t>
      </w:r>
      <w:r>
        <w:rPr>
          <w:rFonts w:hint="eastAsia" w:ascii="仿宋" w:hAnsi="仿宋" w:eastAsia="仿宋" w:cs="仿宋"/>
          <w:sz w:val="32"/>
          <w:szCs w:val="32"/>
          <w:lang w:eastAsia="zh-CN"/>
        </w:rPr>
        <w:t>。</w:t>
      </w:r>
    </w:p>
    <w:p w14:paraId="11D0721C">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.双方约定，租金标准为每年人民币</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u w:val="none"/>
        </w:rPr>
        <w:t>元</w:t>
      </w:r>
      <w:r>
        <w:rPr>
          <w:rFonts w:hint="eastAsia" w:ascii="仿宋" w:hAnsi="仿宋" w:eastAsia="仿宋" w:cs="仿宋"/>
          <w:sz w:val="32"/>
          <w:szCs w:val="32"/>
        </w:rPr>
        <w:t>(大写</w:t>
      </w:r>
      <w:r>
        <w:rPr>
          <w:rFonts w:hint="eastAsia" w:ascii="仿宋" w:hAnsi="仿宋" w:eastAsia="仿宋" w:cs="仿宋"/>
          <w:sz w:val="32"/>
          <w:szCs w:val="32"/>
          <w:lang w:val="en-US" w:eastAsia="zh-CN"/>
        </w:rPr>
        <w:t>:</w:t>
      </w:r>
      <w:r>
        <w:rPr>
          <w:rFonts w:hint="eastAsia" w:ascii="仿宋" w:hAnsi="仿宋" w:eastAsia="仿宋" w:cs="仿宋"/>
          <w:sz w:val="32"/>
          <w:szCs w:val="32"/>
          <w:u w:val="single"/>
        </w:rPr>
        <w:t>人民币</w:t>
      </w:r>
      <w:r>
        <w:rPr>
          <w:rFonts w:hint="eastAsia" w:ascii="仿宋" w:hAnsi="仿宋" w:eastAsia="仿宋" w:cs="仿宋"/>
          <w:sz w:val="32"/>
          <w:szCs w:val="32"/>
          <w:u w:val="single"/>
          <w:lang w:val="en-US" w:eastAsia="zh-CN"/>
        </w:rPr>
        <w:t xml:space="preserve">                 整  </w:t>
      </w:r>
      <w:r>
        <w:rPr>
          <w:rFonts w:hint="eastAsia" w:ascii="仿宋" w:hAnsi="仿宋" w:eastAsia="仿宋" w:cs="仿宋"/>
          <w:sz w:val="32"/>
          <w:szCs w:val="32"/>
          <w:u w:val="none"/>
          <w:lang w:val="en-US" w:eastAsia="zh-CN"/>
        </w:rPr>
        <w:t xml:space="preserve"> )</w:t>
      </w:r>
      <w:r>
        <w:rPr>
          <w:rFonts w:hint="eastAsia" w:ascii="仿宋" w:hAnsi="仿宋" w:eastAsia="仿宋" w:cs="仿宋"/>
          <w:sz w:val="32"/>
          <w:szCs w:val="32"/>
        </w:rPr>
        <w:t>,租金按年支付，先付后用。</w:t>
      </w:r>
    </w:p>
    <w:p w14:paraId="18074378">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具体租金支付周期如下：</w:t>
      </w:r>
    </w:p>
    <w:tbl>
      <w:tblPr>
        <w:tblStyle w:val="10"/>
        <w:tblW w:w="86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0"/>
        <w:gridCol w:w="3029"/>
        <w:gridCol w:w="2445"/>
        <w:gridCol w:w="2100"/>
      </w:tblGrid>
      <w:tr w14:paraId="2E778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090" w:type="dxa"/>
            <w:noWrap w:val="0"/>
            <w:vAlign w:val="center"/>
          </w:tcPr>
          <w:p w14:paraId="60CE58EA">
            <w:pPr>
              <w:keepNext w:val="0"/>
              <w:keepLines w:val="0"/>
              <w:pageBreakBefore w:val="0"/>
              <w:widowControl w:val="0"/>
              <w:kinsoku/>
              <w:wordWrap w:val="0"/>
              <w:overflowPunct/>
              <w:topLinePunct w:val="0"/>
              <w:autoSpaceDE/>
              <w:autoSpaceDN/>
              <w:bidi w:val="0"/>
              <w:adjustRightInd/>
              <w:snapToGrid w:val="0"/>
              <w:spacing w:line="360" w:lineRule="auto"/>
              <w:jc w:val="both"/>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期  次</w:t>
            </w:r>
          </w:p>
        </w:tc>
        <w:tc>
          <w:tcPr>
            <w:tcW w:w="3029" w:type="dxa"/>
            <w:noWrap w:val="0"/>
            <w:vAlign w:val="center"/>
          </w:tcPr>
          <w:p w14:paraId="0EAD182D">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支付时点</w:t>
            </w:r>
          </w:p>
        </w:tc>
        <w:tc>
          <w:tcPr>
            <w:tcW w:w="2445" w:type="dxa"/>
            <w:noWrap w:val="0"/>
            <w:vAlign w:val="center"/>
          </w:tcPr>
          <w:p w14:paraId="1B87FA83">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计费周期</w:t>
            </w:r>
          </w:p>
        </w:tc>
        <w:tc>
          <w:tcPr>
            <w:tcW w:w="2100" w:type="dxa"/>
            <w:noWrap w:val="0"/>
            <w:vAlign w:val="center"/>
          </w:tcPr>
          <w:p w14:paraId="2528DFB1">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当期应付数额</w:t>
            </w:r>
          </w:p>
        </w:tc>
      </w:tr>
      <w:tr w14:paraId="54A37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090" w:type="dxa"/>
            <w:noWrap w:val="0"/>
            <w:vAlign w:val="center"/>
          </w:tcPr>
          <w:p w14:paraId="7D0EBA70">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第一期</w:t>
            </w:r>
          </w:p>
        </w:tc>
        <w:tc>
          <w:tcPr>
            <w:tcW w:w="3029" w:type="dxa"/>
            <w:noWrap w:val="0"/>
            <w:vAlign w:val="center"/>
          </w:tcPr>
          <w:p w14:paraId="5E3404C0">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445" w:type="dxa"/>
            <w:noWrap w:val="0"/>
            <w:vAlign w:val="center"/>
          </w:tcPr>
          <w:p w14:paraId="7F0C13E7">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100" w:type="dxa"/>
            <w:noWrap w:val="0"/>
            <w:vAlign w:val="center"/>
          </w:tcPr>
          <w:p w14:paraId="31E5E20C">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r>
      <w:tr w14:paraId="437FE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090" w:type="dxa"/>
            <w:noWrap w:val="0"/>
            <w:vAlign w:val="center"/>
          </w:tcPr>
          <w:p w14:paraId="316B6310">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第二期</w:t>
            </w:r>
          </w:p>
        </w:tc>
        <w:tc>
          <w:tcPr>
            <w:tcW w:w="3029" w:type="dxa"/>
            <w:noWrap w:val="0"/>
            <w:vAlign w:val="center"/>
          </w:tcPr>
          <w:p w14:paraId="5D1C664D">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445" w:type="dxa"/>
            <w:noWrap w:val="0"/>
            <w:vAlign w:val="center"/>
          </w:tcPr>
          <w:p w14:paraId="40E2AE64">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eastAsia" w:ascii="仿宋" w:hAnsi="仿宋" w:eastAsia="仿宋" w:cs="仿宋"/>
                <w:sz w:val="24"/>
                <w:szCs w:val="24"/>
                <w:vertAlign w:val="baseline"/>
                <w:lang w:val="en-US" w:eastAsia="zh-CN"/>
              </w:rPr>
            </w:pPr>
          </w:p>
        </w:tc>
        <w:tc>
          <w:tcPr>
            <w:tcW w:w="2100" w:type="dxa"/>
            <w:noWrap w:val="0"/>
            <w:vAlign w:val="center"/>
          </w:tcPr>
          <w:p w14:paraId="2A167A4F">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r>
    </w:tbl>
    <w:p w14:paraId="25A5B733">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乙方按照约定向甲方支付租金，租金由乙方汇至甲方指定的帐户：</w:t>
      </w:r>
    </w:p>
    <w:p w14:paraId="44A4C7CF">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账户名称：宁波招源产业发展有限公司</w:t>
      </w:r>
    </w:p>
    <w:p w14:paraId="2191ABB0">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开 户 行：工商银行镇海胜利桥支行</w:t>
      </w:r>
    </w:p>
    <w:p w14:paraId="4D884AB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账    号：3901160109200013895</w:t>
      </w:r>
    </w:p>
    <w:p w14:paraId="5DAFF45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甲方收到乙方租金后开具租赁发票</w:t>
      </w:r>
      <w:r>
        <w:rPr>
          <w:rFonts w:hint="eastAsia" w:ascii="仿宋" w:hAnsi="仿宋" w:eastAsia="仿宋" w:cs="仿宋"/>
          <w:sz w:val="32"/>
          <w:szCs w:val="32"/>
          <w:lang w:eastAsia="zh-CN"/>
        </w:rPr>
        <w:t>。</w:t>
      </w:r>
    </w:p>
    <w:p w14:paraId="4FBEDFF7">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210020B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三、交付</w:t>
      </w:r>
      <w:r>
        <w:rPr>
          <w:rFonts w:hint="eastAsia" w:ascii="仿宋" w:hAnsi="仿宋" w:eastAsia="仿宋" w:cs="仿宋"/>
          <w:b/>
          <w:bCs/>
          <w:sz w:val="32"/>
          <w:szCs w:val="32"/>
          <w:lang w:val="en-US" w:eastAsia="zh-CN"/>
        </w:rPr>
        <w:t>日期及方式</w:t>
      </w:r>
    </w:p>
    <w:p w14:paraId="1EEFFF1F">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合同起始之日</w:t>
      </w:r>
      <w:r>
        <w:rPr>
          <w:rFonts w:hint="eastAsia" w:ascii="仿宋" w:hAnsi="仿宋" w:eastAsia="仿宋" w:cs="仿宋"/>
          <w:sz w:val="32"/>
          <w:szCs w:val="32"/>
        </w:rPr>
        <w:t>为交接日，</w:t>
      </w:r>
      <w:r>
        <w:rPr>
          <w:rFonts w:hint="eastAsia" w:ascii="仿宋" w:hAnsi="仿宋" w:eastAsia="仿宋" w:cs="仿宋"/>
          <w:sz w:val="32"/>
          <w:szCs w:val="32"/>
          <w:lang w:val="en-US" w:eastAsia="zh-CN"/>
        </w:rPr>
        <w:t>房屋按现状交付</w:t>
      </w:r>
      <w:r>
        <w:rPr>
          <w:rFonts w:hint="eastAsia" w:ascii="仿宋" w:hAnsi="仿宋" w:eastAsia="仿宋" w:cs="仿宋"/>
          <w:sz w:val="32"/>
          <w:szCs w:val="32"/>
        </w:rPr>
        <w:t>。</w:t>
      </w:r>
    </w:p>
    <w:p w14:paraId="7BB92D75">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07BEB0A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四、</w:t>
      </w:r>
      <w:r>
        <w:rPr>
          <w:rFonts w:hint="eastAsia" w:ascii="仿宋" w:hAnsi="仿宋" w:eastAsia="仿宋" w:cs="仿宋"/>
          <w:b/>
          <w:bCs/>
          <w:sz w:val="32"/>
          <w:szCs w:val="32"/>
          <w:lang w:val="en-US" w:eastAsia="zh-CN"/>
        </w:rPr>
        <w:t>水电费、</w:t>
      </w:r>
      <w:r>
        <w:rPr>
          <w:rFonts w:hint="eastAsia" w:ascii="仿宋" w:hAnsi="仿宋" w:eastAsia="仿宋" w:cs="仿宋"/>
          <w:b/>
          <w:bCs/>
          <w:sz w:val="32"/>
          <w:szCs w:val="32"/>
        </w:rPr>
        <w:t>物业费</w:t>
      </w:r>
      <w:r>
        <w:rPr>
          <w:rFonts w:hint="eastAsia" w:ascii="仿宋" w:hAnsi="仿宋" w:eastAsia="仿宋" w:cs="仿宋"/>
          <w:b/>
          <w:bCs/>
          <w:sz w:val="32"/>
          <w:szCs w:val="32"/>
          <w:lang w:val="en-US" w:eastAsia="zh-CN"/>
        </w:rPr>
        <w:t>等费</w:t>
      </w:r>
      <w:r>
        <w:rPr>
          <w:rFonts w:hint="eastAsia" w:ascii="仿宋" w:hAnsi="仿宋" w:eastAsia="仿宋" w:cs="仿宋"/>
          <w:b/>
          <w:bCs/>
          <w:sz w:val="32"/>
          <w:szCs w:val="32"/>
        </w:rPr>
        <w:t>用</w:t>
      </w:r>
    </w:p>
    <w:p w14:paraId="23FF6E60">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水电费、物业费、</w:t>
      </w:r>
      <w:r>
        <w:rPr>
          <w:rFonts w:hint="eastAsia" w:ascii="仿宋" w:hAnsi="仿宋" w:eastAsia="仿宋" w:cs="仿宋"/>
          <w:sz w:val="32"/>
          <w:szCs w:val="32"/>
          <w:lang w:val="en-US" w:eastAsia="zh-CN"/>
        </w:rPr>
        <w:t>房屋</w:t>
      </w:r>
      <w:r>
        <w:rPr>
          <w:rFonts w:hint="eastAsia" w:ascii="仿宋" w:hAnsi="仿宋" w:eastAsia="仿宋" w:cs="仿宋"/>
          <w:sz w:val="32"/>
          <w:szCs w:val="32"/>
        </w:rPr>
        <w:t>共有部位、公用设施设备日常维修费由乙方自行承担。</w:t>
      </w:r>
    </w:p>
    <w:p w14:paraId="619689D3">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五、</w:t>
      </w:r>
      <w:r>
        <w:rPr>
          <w:rFonts w:hint="eastAsia" w:ascii="仿宋" w:hAnsi="仿宋" w:eastAsia="仿宋" w:cs="仿宋"/>
          <w:b/>
          <w:bCs/>
          <w:sz w:val="32"/>
          <w:szCs w:val="32"/>
          <w:lang w:val="en-US" w:eastAsia="zh-CN"/>
        </w:rPr>
        <w:t>履约</w:t>
      </w:r>
      <w:r>
        <w:rPr>
          <w:rFonts w:hint="eastAsia" w:ascii="仿宋" w:hAnsi="仿宋" w:eastAsia="仿宋" w:cs="仿宋"/>
          <w:b/>
          <w:bCs/>
          <w:sz w:val="32"/>
          <w:szCs w:val="32"/>
        </w:rPr>
        <w:t>保证金</w:t>
      </w:r>
    </w:p>
    <w:p w14:paraId="2BFE71FC">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乙方</w:t>
      </w:r>
      <w:r>
        <w:rPr>
          <w:rFonts w:hint="eastAsia" w:ascii="仿宋" w:hAnsi="仿宋" w:eastAsia="仿宋" w:cs="仿宋"/>
          <w:sz w:val="32"/>
          <w:szCs w:val="32"/>
          <w:lang w:val="en-US" w:eastAsia="zh-CN"/>
        </w:rPr>
        <w:t>应</w:t>
      </w:r>
      <w:r>
        <w:rPr>
          <w:rFonts w:hint="eastAsia" w:ascii="仿宋" w:hAnsi="仿宋" w:eastAsia="仿宋" w:cs="仿宋"/>
          <w:sz w:val="32"/>
          <w:szCs w:val="32"/>
        </w:rPr>
        <w:t>向甲方交纳</w:t>
      </w:r>
      <w:r>
        <w:rPr>
          <w:rFonts w:hint="eastAsia" w:ascii="仿宋" w:hAnsi="仿宋" w:eastAsia="仿宋" w:cs="仿宋"/>
          <w:sz w:val="32"/>
          <w:szCs w:val="32"/>
          <w:lang w:val="en-US" w:eastAsia="zh-CN"/>
        </w:rPr>
        <w:t>履约</w:t>
      </w:r>
      <w:r>
        <w:rPr>
          <w:rFonts w:hint="eastAsia" w:ascii="仿宋" w:hAnsi="仿宋" w:eastAsia="仿宋" w:cs="仿宋"/>
          <w:sz w:val="32"/>
          <w:szCs w:val="32"/>
        </w:rPr>
        <w:t>保证金</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元(大写：人民</w:t>
      </w:r>
      <w:r>
        <w:rPr>
          <w:rFonts w:hint="eastAsia" w:ascii="仿宋" w:hAnsi="仿宋" w:eastAsia="仿宋" w:cs="仿宋"/>
          <w:sz w:val="32"/>
          <w:szCs w:val="32"/>
          <w:lang w:val="en-US" w:eastAsia="zh-CN"/>
        </w:rPr>
        <w:t>币</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)。租赁期满甲方对乙方承租</w:t>
      </w:r>
      <w:r>
        <w:rPr>
          <w:rFonts w:hint="eastAsia" w:ascii="仿宋" w:hAnsi="仿宋" w:eastAsia="仿宋" w:cs="仿宋"/>
          <w:sz w:val="32"/>
          <w:szCs w:val="32"/>
          <w:lang w:val="en-US" w:eastAsia="zh-CN"/>
        </w:rPr>
        <w:t>房屋</w:t>
      </w:r>
      <w:r>
        <w:rPr>
          <w:rFonts w:hint="eastAsia" w:ascii="仿宋" w:hAnsi="仿宋" w:eastAsia="仿宋" w:cs="仿宋"/>
          <w:sz w:val="32"/>
          <w:szCs w:val="32"/>
        </w:rPr>
        <w:t>验收合格后，乙方凭收款收据全额无息退还。如乙方未能及时结清本合同条款约定应承担的费用，乙方自愿甲方用</w:t>
      </w:r>
      <w:r>
        <w:rPr>
          <w:rFonts w:hint="eastAsia" w:ascii="仿宋" w:hAnsi="仿宋" w:eastAsia="仿宋" w:cs="仿宋"/>
          <w:sz w:val="32"/>
          <w:szCs w:val="32"/>
          <w:lang w:val="en-US" w:eastAsia="zh-CN"/>
        </w:rPr>
        <w:t>履约</w:t>
      </w:r>
      <w:r>
        <w:rPr>
          <w:rFonts w:hint="eastAsia" w:ascii="仿宋" w:hAnsi="仿宋" w:eastAsia="仿宋" w:cs="仿宋"/>
          <w:sz w:val="32"/>
          <w:szCs w:val="32"/>
        </w:rPr>
        <w:t>保证金作抵扣，抵扣后不够的，还需承担剩余部分。若因乙方违约导致合同提前解除或终止，履约保证金不予退还</w:t>
      </w:r>
      <w:r>
        <w:rPr>
          <w:rFonts w:hint="eastAsia" w:ascii="仿宋" w:hAnsi="仿宋" w:eastAsia="仿宋" w:cs="仿宋"/>
          <w:sz w:val="32"/>
          <w:szCs w:val="32"/>
          <w:lang w:eastAsia="zh-CN"/>
        </w:rPr>
        <w:t>。</w:t>
      </w:r>
    </w:p>
    <w:p w14:paraId="5CF4F059">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377977D3">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六、承租房的用途</w:t>
      </w:r>
    </w:p>
    <w:p w14:paraId="5EB49342">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乙方保证承租上述</w:t>
      </w:r>
      <w:r>
        <w:rPr>
          <w:rFonts w:hint="eastAsia" w:ascii="仿宋" w:hAnsi="仿宋" w:eastAsia="仿宋" w:cs="仿宋"/>
          <w:sz w:val="32"/>
          <w:szCs w:val="32"/>
          <w:lang w:val="en-US" w:eastAsia="zh-CN"/>
        </w:rPr>
        <w:t>房屋</w:t>
      </w:r>
      <w:r>
        <w:rPr>
          <w:rFonts w:hint="eastAsia" w:ascii="仿宋" w:hAnsi="仿宋" w:eastAsia="仿宋" w:cs="仿宋"/>
          <w:sz w:val="32"/>
          <w:szCs w:val="32"/>
        </w:rPr>
        <w:t>仅作</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使用。未经甲方同意，乙方在租赁期内不得将</w:t>
      </w:r>
      <w:r>
        <w:rPr>
          <w:rFonts w:hint="eastAsia" w:ascii="仿宋" w:hAnsi="仿宋" w:eastAsia="仿宋" w:cs="仿宋"/>
          <w:sz w:val="32"/>
          <w:szCs w:val="32"/>
          <w:lang w:val="en-US" w:eastAsia="zh-CN"/>
        </w:rPr>
        <w:t>房屋</w:t>
      </w:r>
      <w:r>
        <w:rPr>
          <w:rFonts w:hint="eastAsia" w:ascii="仿宋" w:hAnsi="仿宋" w:eastAsia="仿宋" w:cs="仿宋"/>
          <w:sz w:val="32"/>
          <w:szCs w:val="32"/>
        </w:rPr>
        <w:t>自行转租、转借或转让。</w:t>
      </w:r>
    </w:p>
    <w:p w14:paraId="482FA51D">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46AC0620">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七、装修约定</w:t>
      </w:r>
    </w:p>
    <w:p w14:paraId="79E2025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该房屋根据现有状态出租，乙方如进行其他装修，设计方案须报甲方同意方能施工，费用乙方自理。装修时，不得损坏房屋原有主体结构、固定设施及整体布局。</w:t>
      </w:r>
    </w:p>
    <w:p w14:paraId="57538AEA">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04442B44">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八、甲方应承担的义务</w:t>
      </w:r>
    </w:p>
    <w:p w14:paraId="70A31D6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1.按合同约定的日期将房屋交付乙方使用。</w:t>
      </w:r>
    </w:p>
    <w:p w14:paraId="4ED612C9">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2.租赁期间，房屋出现墙体裂缝、房屋漏水、渗水</w:t>
      </w:r>
      <w:r>
        <w:rPr>
          <w:rFonts w:hint="eastAsia" w:ascii="仿宋" w:hAnsi="仿宋" w:eastAsia="仿宋" w:cs="仿宋"/>
          <w:sz w:val="32"/>
          <w:szCs w:val="32"/>
          <w:highlight w:val="none"/>
          <w:lang w:val="en-US" w:eastAsia="zh-CN"/>
        </w:rPr>
        <w:t>问题的</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甲方应在接到乙方通知后及时进行维修。</w:t>
      </w:r>
    </w:p>
    <w:p w14:paraId="2707E148">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3.因国家建设需要被征用、拆迁，地震、水火灾等不可抗力导致本合同提前解除的，不属于违约情形，合同解除后，甲方应按比例</w:t>
      </w:r>
      <w:r>
        <w:rPr>
          <w:rFonts w:hint="eastAsia" w:ascii="仿宋" w:hAnsi="仿宋" w:eastAsia="仿宋" w:cs="仿宋"/>
          <w:sz w:val="32"/>
          <w:szCs w:val="32"/>
          <w:highlight w:val="none"/>
          <w:lang w:val="en-US" w:eastAsia="zh-CN"/>
        </w:rPr>
        <w:t>无息</w:t>
      </w:r>
      <w:r>
        <w:rPr>
          <w:rFonts w:hint="eastAsia" w:ascii="仿宋" w:hAnsi="仿宋" w:eastAsia="仿宋" w:cs="仿宋"/>
          <w:sz w:val="32"/>
          <w:szCs w:val="32"/>
          <w:highlight w:val="none"/>
        </w:rPr>
        <w:t>退还未到期租金</w:t>
      </w:r>
      <w:r>
        <w:rPr>
          <w:rFonts w:hint="eastAsia" w:ascii="仿宋" w:hAnsi="仿宋" w:eastAsia="仿宋" w:cs="仿宋"/>
          <w:sz w:val="32"/>
          <w:szCs w:val="32"/>
          <w:highlight w:val="none"/>
          <w:lang w:val="en-US" w:eastAsia="zh-CN"/>
        </w:rPr>
        <w:t>及履约保证金</w:t>
      </w:r>
      <w:r>
        <w:rPr>
          <w:rFonts w:hint="eastAsia" w:ascii="仿宋" w:hAnsi="仿宋" w:eastAsia="仿宋" w:cs="仿宋"/>
          <w:sz w:val="32"/>
          <w:szCs w:val="32"/>
          <w:highlight w:val="none"/>
        </w:rPr>
        <w:t>。</w:t>
      </w:r>
    </w:p>
    <w:p w14:paraId="094A7059">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0A41B401">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九、乙方应承担的义务</w:t>
      </w:r>
    </w:p>
    <w:p w14:paraId="3CF3525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1.按时、足额缴纳资产租金、物业费及其他相关费用。</w:t>
      </w:r>
    </w:p>
    <w:p w14:paraId="37C0E221">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2.不得在承租的场地内从事违法经营活动。</w:t>
      </w:r>
    </w:p>
    <w:p w14:paraId="75E894F8">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3.租赁期间，乙方应合理使用并爱护该房屋及其附属设施。因乙方使用不当或不合理使用，致使该房屋及其附属设施损坏或发生故障的，乙方应负责维修。乙方拒不维修，甲方可代为维修，费用由乙方承担。</w:t>
      </w:r>
    </w:p>
    <w:p w14:paraId="075B8F75">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4.租赁期满后甲方不同意续租的，乙方必须在期满之日起十日内搬离。若乙方未搬离，乙方应向甲方支付金额为日租金三倍的占用费。甲方收回原出租场地，乙方可以将</w:t>
      </w:r>
      <w:r>
        <w:rPr>
          <w:rFonts w:hint="eastAsia" w:ascii="仿宋" w:hAnsi="仿宋" w:eastAsia="仿宋" w:cs="仿宋"/>
          <w:sz w:val="32"/>
          <w:szCs w:val="32"/>
          <w:highlight w:val="none"/>
          <w:lang w:val="en-US" w:eastAsia="zh-CN"/>
        </w:rPr>
        <w:t>自行购置的</w:t>
      </w:r>
      <w:r>
        <w:rPr>
          <w:rFonts w:hint="eastAsia" w:ascii="仿宋" w:hAnsi="仿宋" w:eastAsia="仿宋" w:cs="仿宋"/>
          <w:sz w:val="32"/>
          <w:szCs w:val="32"/>
          <w:highlight w:val="none"/>
        </w:rPr>
        <w:t>可移动家俱等设备搬离，固定设施、装修不得拆除或人为破坏，无偿移交甲方。合同终止后超过10日，租赁物内遗留存放的物品、设施，均视为乙方的遗弃物，甲方有权任意处置且无需向乙方承担任何责任。</w:t>
      </w:r>
    </w:p>
    <w:p w14:paraId="718D813A">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5.若</w:t>
      </w:r>
      <w:r>
        <w:rPr>
          <w:rFonts w:hint="eastAsia" w:ascii="仿宋" w:hAnsi="仿宋" w:eastAsia="仿宋" w:cs="仿宋"/>
          <w:sz w:val="32"/>
          <w:szCs w:val="32"/>
          <w:highlight w:val="none"/>
          <w:lang w:val="en-US" w:eastAsia="zh-CN"/>
        </w:rPr>
        <w:t>因</w:t>
      </w:r>
      <w:r>
        <w:rPr>
          <w:rFonts w:hint="eastAsia" w:ascii="仿宋" w:hAnsi="仿宋" w:eastAsia="仿宋" w:cs="仿宋"/>
          <w:sz w:val="32"/>
          <w:szCs w:val="32"/>
          <w:highlight w:val="none"/>
        </w:rPr>
        <w:t>乙方原因提前终止租赁合同</w:t>
      </w:r>
      <w:r>
        <w:rPr>
          <w:rFonts w:hint="eastAsia" w:ascii="仿宋" w:hAnsi="仿宋" w:eastAsia="仿宋" w:cs="仿宋"/>
          <w:sz w:val="32"/>
          <w:szCs w:val="32"/>
          <w:highlight w:val="none"/>
          <w:lang w:val="en-US" w:eastAsia="zh-CN"/>
        </w:rPr>
        <w:t>的</w:t>
      </w:r>
      <w:r>
        <w:rPr>
          <w:rFonts w:hint="eastAsia" w:ascii="仿宋" w:hAnsi="仿宋" w:eastAsia="仿宋" w:cs="仿宋"/>
          <w:sz w:val="32"/>
          <w:szCs w:val="32"/>
          <w:highlight w:val="none"/>
        </w:rPr>
        <w:t>，乙方须提前</w:t>
      </w:r>
      <w:r>
        <w:rPr>
          <w:rFonts w:hint="eastAsia" w:ascii="仿宋" w:hAnsi="仿宋" w:eastAsia="仿宋" w:cs="仿宋"/>
          <w:sz w:val="32"/>
          <w:szCs w:val="32"/>
          <w:highlight w:val="none"/>
          <w:lang w:val="en-US" w:eastAsia="zh-CN"/>
        </w:rPr>
        <w:t>三</w:t>
      </w:r>
      <w:r>
        <w:rPr>
          <w:rFonts w:hint="eastAsia" w:ascii="仿宋" w:hAnsi="仿宋" w:eastAsia="仿宋" w:cs="仿宋"/>
          <w:sz w:val="32"/>
          <w:szCs w:val="32"/>
          <w:highlight w:val="none"/>
        </w:rPr>
        <w:t>个月书面通知甲方，</w:t>
      </w:r>
      <w:r>
        <w:rPr>
          <w:rFonts w:hint="eastAsia" w:ascii="仿宋" w:hAnsi="仿宋" w:eastAsia="仿宋" w:cs="仿宋"/>
          <w:sz w:val="32"/>
          <w:szCs w:val="32"/>
          <w:highlight w:val="none"/>
          <w:lang w:val="en-US" w:eastAsia="zh-CN"/>
        </w:rPr>
        <w:t>并</w:t>
      </w:r>
      <w:r>
        <w:rPr>
          <w:rFonts w:hint="eastAsia" w:ascii="仿宋" w:hAnsi="仿宋" w:eastAsia="仿宋" w:cs="仿宋"/>
          <w:sz w:val="32"/>
          <w:szCs w:val="32"/>
          <w:highlight w:val="none"/>
        </w:rPr>
        <w:t>在通知日起三个月内搬离并完成场地清理，结清水、电、物业等相关费用，待甲方对收回房屋验收合格后，本协议自行终止，</w:t>
      </w:r>
      <w:r>
        <w:rPr>
          <w:rFonts w:hint="eastAsia" w:ascii="仿宋" w:hAnsi="仿宋" w:eastAsia="仿宋" w:cs="仿宋"/>
          <w:sz w:val="32"/>
          <w:szCs w:val="32"/>
          <w:highlight w:val="none"/>
          <w:lang w:val="en-US" w:eastAsia="zh-CN"/>
        </w:rPr>
        <w:t>已</w:t>
      </w:r>
      <w:r>
        <w:rPr>
          <w:rFonts w:hint="eastAsia" w:ascii="仿宋" w:hAnsi="仿宋" w:eastAsia="仿宋" w:cs="仿宋"/>
          <w:sz w:val="32"/>
          <w:szCs w:val="32"/>
          <w:highlight w:val="none"/>
        </w:rPr>
        <w:t>缴纳的</w:t>
      </w:r>
      <w:r>
        <w:rPr>
          <w:rFonts w:hint="eastAsia" w:ascii="仿宋" w:hAnsi="仿宋" w:eastAsia="仿宋" w:cs="仿宋"/>
          <w:sz w:val="32"/>
          <w:szCs w:val="32"/>
          <w:highlight w:val="none"/>
          <w:lang w:val="en-US" w:eastAsia="zh-CN"/>
        </w:rPr>
        <w:t>租金及履约保证金</w:t>
      </w:r>
      <w:r>
        <w:rPr>
          <w:rFonts w:hint="eastAsia" w:ascii="仿宋" w:hAnsi="仿宋" w:eastAsia="仿宋" w:cs="仿宋"/>
          <w:sz w:val="32"/>
          <w:szCs w:val="32"/>
          <w:highlight w:val="none"/>
        </w:rPr>
        <w:t>甲方不再退还给乙方。</w:t>
      </w:r>
    </w:p>
    <w:p w14:paraId="1F69FD5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6.</w:t>
      </w:r>
      <w:r>
        <w:rPr>
          <w:rFonts w:hint="eastAsia" w:ascii="仿宋" w:hAnsi="仿宋" w:eastAsia="仿宋" w:cs="仿宋"/>
          <w:sz w:val="32"/>
          <w:szCs w:val="32"/>
          <w:highlight w:val="none"/>
        </w:rPr>
        <w:t>本协议期满前三个月，甲方有权开展重新招租工作，包括但不限于设置招租公告，在提前通知乙方的前提下为未来承租户展示租赁房屋，乙方应全力配合。</w:t>
      </w:r>
    </w:p>
    <w:p w14:paraId="6724A52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7</w:t>
      </w:r>
      <w:r>
        <w:rPr>
          <w:rFonts w:hint="eastAsia" w:ascii="仿宋" w:hAnsi="仿宋" w:eastAsia="仿宋" w:cs="仿宋"/>
          <w:sz w:val="32"/>
          <w:szCs w:val="32"/>
          <w:highlight w:val="none"/>
        </w:rPr>
        <w:t>.因国家建设需要被征用、拆迁，地震、水火灾等不可抗力导致本合同提前解除的，不属于违约情形，乙方必须无条件</w:t>
      </w:r>
      <w:r>
        <w:rPr>
          <w:rFonts w:hint="eastAsia" w:ascii="仿宋" w:hAnsi="仿宋" w:eastAsia="仿宋" w:cs="仿宋"/>
          <w:sz w:val="32"/>
          <w:szCs w:val="32"/>
          <w:highlight w:val="none"/>
          <w:lang w:eastAsia="zh-CN"/>
        </w:rPr>
        <w:t>在</w:t>
      </w:r>
      <w:r>
        <w:rPr>
          <w:rFonts w:hint="eastAsia" w:ascii="仿宋" w:hAnsi="仿宋" w:eastAsia="仿宋" w:cs="仿宋"/>
          <w:sz w:val="32"/>
          <w:szCs w:val="32"/>
          <w:highlight w:val="none"/>
          <w:lang w:val="en-US" w:eastAsia="zh-CN"/>
        </w:rPr>
        <w:t>甲方要求的时间内搬离</w:t>
      </w:r>
      <w:r>
        <w:rPr>
          <w:rFonts w:hint="eastAsia" w:ascii="仿宋" w:hAnsi="仿宋" w:eastAsia="仿宋" w:cs="仿宋"/>
          <w:sz w:val="32"/>
          <w:szCs w:val="32"/>
          <w:highlight w:val="none"/>
        </w:rPr>
        <w:t>。所有拆迁权利及拆迁补偿所得，均属甲方所有，与乙方无涉。</w:t>
      </w:r>
    </w:p>
    <w:p w14:paraId="75C5450A">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1FFE6878">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highlight w:val="none"/>
        </w:rPr>
      </w:pPr>
      <w:r>
        <w:rPr>
          <w:rFonts w:hint="eastAsia" w:ascii="仿宋" w:hAnsi="仿宋" w:eastAsia="仿宋" w:cs="仿宋"/>
          <w:b/>
          <w:bCs/>
          <w:sz w:val="32"/>
          <w:szCs w:val="32"/>
          <w:highlight w:val="none"/>
        </w:rPr>
        <w:t>十、安全条款</w:t>
      </w:r>
    </w:p>
    <w:p w14:paraId="2BAFA275">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1.乙方应全面负责租赁物内的防火安全。在不影响乙方正常经营的情况下，甲方有权进入租赁区域检查租赁物的防火安全，乙方不得无理拒绝或延迟给予同意。</w:t>
      </w:r>
    </w:p>
    <w:p w14:paraId="2E41920F">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2</w:t>
      </w:r>
      <w:r>
        <w:rPr>
          <w:rFonts w:hint="eastAsia" w:ascii="仿宋" w:hAnsi="仿宋" w:eastAsia="仿宋" w:cs="仿宋"/>
          <w:sz w:val="32"/>
          <w:szCs w:val="32"/>
          <w:highlight w:val="none"/>
        </w:rPr>
        <w:t>.乙方承诺租赁期间由被盗、火灾等原因造成损失或事故的，由乙方负全部责任。如出现安全事故，甲方有权终止合同并追究乙方相关责任。</w:t>
      </w:r>
    </w:p>
    <w:p w14:paraId="3503809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2.乙方承诺</w:t>
      </w:r>
      <w:r>
        <w:rPr>
          <w:rFonts w:hint="eastAsia" w:ascii="仿宋" w:hAnsi="仿宋" w:eastAsia="仿宋" w:cs="仿宋"/>
          <w:sz w:val="32"/>
          <w:szCs w:val="32"/>
          <w:highlight w:val="none"/>
          <w:lang w:val="en-US" w:eastAsia="zh-CN"/>
        </w:rPr>
        <w:t>租赁期间</w:t>
      </w:r>
      <w:r>
        <w:rPr>
          <w:rFonts w:hint="eastAsia" w:ascii="仿宋" w:hAnsi="仿宋" w:eastAsia="仿宋" w:cs="仿宋"/>
          <w:sz w:val="32"/>
          <w:szCs w:val="32"/>
          <w:highlight w:val="none"/>
        </w:rPr>
        <w:t>从事的各项活动均符合国家法律法规，并独立承担全部责任</w:t>
      </w:r>
      <w:r>
        <w:rPr>
          <w:rFonts w:hint="eastAsia" w:ascii="仿宋" w:hAnsi="仿宋" w:eastAsia="仿宋" w:cs="仿宋"/>
          <w:sz w:val="32"/>
          <w:szCs w:val="32"/>
          <w:highlight w:val="none"/>
          <w:lang w:eastAsia="zh-CN"/>
        </w:rPr>
        <w:t>。</w:t>
      </w:r>
    </w:p>
    <w:p w14:paraId="08330F1A">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3.乙方应全面做好租赁物内的安全工作，配备安全设施，及时维修保养，及时锁好门窗，合理堆放物品，确保租赁物和人员安全。</w:t>
      </w:r>
    </w:p>
    <w:p w14:paraId="7F21D615">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0F3DD9DE">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highlight w:val="none"/>
        </w:rPr>
      </w:pPr>
      <w:r>
        <w:rPr>
          <w:rFonts w:hint="eastAsia" w:ascii="仿宋" w:hAnsi="仿宋" w:eastAsia="仿宋" w:cs="仿宋"/>
          <w:b/>
          <w:bCs/>
          <w:sz w:val="32"/>
          <w:szCs w:val="32"/>
          <w:highlight w:val="none"/>
        </w:rPr>
        <w:t>十一、违约责任</w:t>
      </w:r>
    </w:p>
    <w:p w14:paraId="11DDE602">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w:t>
      </w:r>
      <w:r>
        <w:rPr>
          <w:rFonts w:hint="eastAsia" w:ascii="仿宋" w:hAnsi="仿宋" w:eastAsia="仿宋" w:cs="仿宋"/>
          <w:sz w:val="32"/>
          <w:szCs w:val="32"/>
          <w:highlight w:val="none"/>
          <w:lang w:val="en-US" w:eastAsia="zh-CN"/>
        </w:rPr>
        <w:t>.</w:t>
      </w:r>
      <w:r>
        <w:rPr>
          <w:rFonts w:hint="eastAsia" w:ascii="仿宋" w:hAnsi="仿宋" w:eastAsia="仿宋" w:cs="仿宋"/>
          <w:sz w:val="32"/>
          <w:szCs w:val="32"/>
          <w:highlight w:val="none"/>
        </w:rPr>
        <w:t>如一方违反有关政策法规，或违反</w:t>
      </w:r>
      <w:r>
        <w:rPr>
          <w:rFonts w:hint="eastAsia" w:ascii="仿宋" w:hAnsi="仿宋" w:eastAsia="仿宋" w:cs="仿宋"/>
          <w:sz w:val="32"/>
          <w:szCs w:val="32"/>
          <w:highlight w:val="none"/>
          <w:lang w:val="en-US" w:eastAsia="zh-CN"/>
        </w:rPr>
        <w:t>本合同相关约定的</w:t>
      </w:r>
      <w:r>
        <w:rPr>
          <w:rFonts w:hint="eastAsia" w:ascii="仿宋" w:hAnsi="仿宋" w:eastAsia="仿宋" w:cs="仿宋"/>
          <w:sz w:val="32"/>
          <w:szCs w:val="32"/>
          <w:highlight w:val="none"/>
        </w:rPr>
        <w:t>，另一方有权提前解除合同，由此造成的损失由责任一方承担。</w:t>
      </w:r>
    </w:p>
    <w:p w14:paraId="39AF9371">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2.甲、乙双方签订合同后，乙方应及时支付租金</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逾期不缴纳租金的，从逾期之日起每天按应付租金总额的3‰支付滞纳金。</w:t>
      </w:r>
    </w:p>
    <w:p w14:paraId="6BF0AF1C">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3.</w:t>
      </w:r>
      <w:r>
        <w:rPr>
          <w:rFonts w:hint="eastAsia" w:ascii="仿宋" w:hAnsi="仿宋" w:eastAsia="仿宋" w:cs="仿宋"/>
          <w:sz w:val="32"/>
          <w:szCs w:val="32"/>
          <w:highlight w:val="none"/>
        </w:rPr>
        <w:t>乙方因拖欠租金、物业费、水电费1个月以上的（含1个月），则甲方有权提前解除本合同，立即收回该房屋，乙方的履约保证金不</w:t>
      </w:r>
      <w:r>
        <w:rPr>
          <w:rFonts w:hint="eastAsia" w:ascii="仿宋" w:hAnsi="仿宋" w:eastAsia="仿宋" w:cs="仿宋"/>
          <w:sz w:val="32"/>
          <w:szCs w:val="32"/>
          <w:highlight w:val="none"/>
          <w:lang w:val="en-US" w:eastAsia="zh-CN"/>
        </w:rPr>
        <w:t>予</w:t>
      </w:r>
      <w:r>
        <w:rPr>
          <w:rFonts w:hint="eastAsia" w:ascii="仿宋" w:hAnsi="仿宋" w:eastAsia="仿宋" w:cs="仿宋"/>
          <w:sz w:val="32"/>
          <w:szCs w:val="32"/>
          <w:highlight w:val="none"/>
        </w:rPr>
        <w:t>返还，并追收所欠费用。</w:t>
      </w:r>
    </w:p>
    <w:p w14:paraId="4A208758">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highlight w:val="none"/>
          <w:lang w:val="en-US" w:eastAsia="zh-CN"/>
        </w:rPr>
        <w:t>4</w:t>
      </w:r>
      <w:r>
        <w:rPr>
          <w:rFonts w:hint="eastAsia" w:ascii="仿宋" w:hAnsi="仿宋" w:eastAsia="仿宋" w:cs="仿宋"/>
          <w:sz w:val="32"/>
          <w:szCs w:val="32"/>
          <w:highlight w:val="none"/>
        </w:rPr>
        <w:t>.乙方不得将</w:t>
      </w:r>
      <w:r>
        <w:rPr>
          <w:rFonts w:hint="eastAsia" w:ascii="仿宋" w:hAnsi="仿宋" w:eastAsia="仿宋" w:cs="仿宋"/>
          <w:sz w:val="32"/>
          <w:szCs w:val="32"/>
          <w:highlight w:val="none"/>
          <w:lang w:val="en-US" w:eastAsia="zh-CN"/>
        </w:rPr>
        <w:t>房屋</w:t>
      </w:r>
      <w:r>
        <w:rPr>
          <w:rFonts w:hint="eastAsia" w:ascii="仿宋" w:hAnsi="仿宋" w:eastAsia="仿宋" w:cs="仿宋"/>
          <w:sz w:val="32"/>
          <w:szCs w:val="32"/>
          <w:highlight w:val="none"/>
        </w:rPr>
        <w:t>用于其他用途，有违法违规行为或违反协议有关条款的，甲方有权收</w:t>
      </w:r>
      <w:r>
        <w:rPr>
          <w:rFonts w:hint="eastAsia" w:ascii="仿宋" w:hAnsi="仿宋" w:eastAsia="仿宋" w:cs="仿宋"/>
          <w:sz w:val="32"/>
          <w:szCs w:val="32"/>
        </w:rPr>
        <w:t>回出租</w:t>
      </w:r>
      <w:r>
        <w:rPr>
          <w:rFonts w:hint="eastAsia" w:ascii="仿宋" w:hAnsi="仿宋" w:eastAsia="仿宋" w:cs="仿宋"/>
          <w:sz w:val="32"/>
          <w:szCs w:val="32"/>
          <w:lang w:val="en-US" w:eastAsia="zh-CN"/>
        </w:rPr>
        <w:t>房屋</w:t>
      </w:r>
      <w:r>
        <w:rPr>
          <w:rFonts w:hint="eastAsia" w:ascii="仿宋" w:hAnsi="仿宋" w:eastAsia="仿宋" w:cs="仿宋"/>
          <w:sz w:val="32"/>
          <w:szCs w:val="32"/>
        </w:rPr>
        <w:t>，由此产生的损失乙方自负。</w:t>
      </w:r>
    </w:p>
    <w:p w14:paraId="2297E09C">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p>
    <w:p w14:paraId="3399ABB1">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第</w:t>
      </w:r>
      <w:r>
        <w:rPr>
          <w:rFonts w:hint="eastAsia" w:ascii="仿宋" w:hAnsi="仿宋" w:eastAsia="仿宋" w:cs="仿宋"/>
          <w:b/>
          <w:bCs/>
          <w:sz w:val="32"/>
          <w:szCs w:val="32"/>
        </w:rPr>
        <w:t>十二</w:t>
      </w:r>
      <w:r>
        <w:rPr>
          <w:rFonts w:hint="eastAsia" w:ascii="仿宋" w:hAnsi="仿宋" w:eastAsia="仿宋" w:cs="仿宋"/>
          <w:b/>
          <w:bCs/>
          <w:sz w:val="32"/>
          <w:szCs w:val="32"/>
          <w:lang w:val="en-US" w:eastAsia="zh-CN"/>
        </w:rPr>
        <w:t>条 其他条款</w:t>
      </w:r>
    </w:p>
    <w:p w14:paraId="18D4511D">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1.</w:t>
      </w:r>
      <w:r>
        <w:rPr>
          <w:rFonts w:hint="eastAsia" w:ascii="仿宋" w:hAnsi="仿宋" w:eastAsia="仿宋" w:cs="仿宋"/>
          <w:b w:val="0"/>
          <w:bCs w:val="0"/>
          <w:sz w:val="32"/>
          <w:szCs w:val="32"/>
        </w:rPr>
        <w:t>因不可抗力因素造成任何一方财产、人身损害的，双方均可免责。</w:t>
      </w:r>
    </w:p>
    <w:p w14:paraId="0DEA45BE">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rPr>
        <w:t>乙方用电、用水、用气单独立表计量，按实际使用情况由乙方自行缴纳。租赁期间乙方应注意安全使用电、气、水等，如发生意外与甲方无关。</w:t>
      </w:r>
    </w:p>
    <w:p w14:paraId="01DCF213">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3.</w:t>
      </w:r>
      <w:r>
        <w:rPr>
          <w:rFonts w:hint="eastAsia" w:ascii="仿宋" w:hAnsi="仿宋" w:eastAsia="仿宋" w:cs="仿宋"/>
          <w:b w:val="0"/>
          <w:bCs w:val="0"/>
          <w:sz w:val="32"/>
          <w:szCs w:val="32"/>
        </w:rPr>
        <w:t>信函到达合同前述的甲方、乙方地址视为送达。</w:t>
      </w:r>
    </w:p>
    <w:p w14:paraId="670D233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4.</w:t>
      </w:r>
      <w:r>
        <w:rPr>
          <w:rFonts w:hint="eastAsia" w:ascii="仿宋" w:hAnsi="仿宋" w:eastAsia="仿宋" w:cs="仿宋"/>
          <w:b w:val="0"/>
          <w:bCs w:val="0"/>
          <w:sz w:val="32"/>
          <w:szCs w:val="32"/>
        </w:rPr>
        <w:t>本合同未尽事宜，甲、乙双方可另行签订补充协议，效力与本合同等同。</w:t>
      </w:r>
    </w:p>
    <w:p w14:paraId="22206325">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p>
    <w:p w14:paraId="355C0201">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lang w:val="en-US" w:eastAsia="zh-CN"/>
        </w:rPr>
        <w:t>第十三条</w:t>
      </w:r>
      <w:r>
        <w:rPr>
          <w:rFonts w:hint="eastAsia" w:ascii="仿宋" w:hAnsi="仿宋" w:eastAsia="仿宋" w:cs="仿宋"/>
          <w:b/>
          <w:bCs/>
          <w:sz w:val="32"/>
          <w:szCs w:val="32"/>
        </w:rPr>
        <w:t xml:space="preserve"> 争议的解决</w:t>
      </w:r>
    </w:p>
    <w:p w14:paraId="0F2560C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bCs/>
          <w:sz w:val="32"/>
          <w:szCs w:val="32"/>
        </w:rPr>
      </w:pPr>
      <w:r>
        <w:rPr>
          <w:rFonts w:hint="eastAsia" w:ascii="仿宋" w:hAnsi="仿宋" w:eastAsia="仿宋" w:cs="仿宋"/>
          <w:b w:val="0"/>
          <w:bCs w:val="0"/>
          <w:sz w:val="32"/>
          <w:szCs w:val="32"/>
        </w:rPr>
        <w:t>本合同在履行中发生争议，应由双方协商解决，若协商不成，向租赁物所在地人民法院起诉。</w:t>
      </w:r>
    </w:p>
    <w:p w14:paraId="3A272CD6">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4487051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第十</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条 合同的生效</w:t>
      </w:r>
    </w:p>
    <w:p w14:paraId="7DC6ECED">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rPr>
        <w:t>本合同（及附件）</w:t>
      </w:r>
      <w:r>
        <w:rPr>
          <w:rFonts w:hint="eastAsia" w:ascii="仿宋" w:hAnsi="仿宋" w:eastAsia="仿宋" w:cs="仿宋"/>
          <w:b w:val="0"/>
          <w:bCs w:val="0"/>
          <w:sz w:val="32"/>
          <w:szCs w:val="32"/>
          <w:lang w:val="en-US" w:eastAsia="zh-CN"/>
        </w:rPr>
        <w:t>壹</w:t>
      </w:r>
      <w:r>
        <w:rPr>
          <w:rFonts w:hint="eastAsia" w:ascii="仿宋" w:hAnsi="仿宋" w:eastAsia="仿宋" w:cs="仿宋"/>
          <w:b w:val="0"/>
          <w:bCs w:val="0"/>
          <w:sz w:val="32"/>
          <w:szCs w:val="32"/>
        </w:rPr>
        <w:t>式</w:t>
      </w:r>
      <w:r>
        <w:rPr>
          <w:rFonts w:hint="eastAsia" w:ascii="仿宋" w:hAnsi="仿宋" w:eastAsia="仿宋" w:cs="仿宋"/>
          <w:b w:val="0"/>
          <w:bCs w:val="0"/>
          <w:sz w:val="32"/>
          <w:szCs w:val="32"/>
          <w:lang w:val="en-US" w:eastAsia="zh-CN"/>
        </w:rPr>
        <w:t>肆</w:t>
      </w:r>
      <w:r>
        <w:rPr>
          <w:rFonts w:hint="eastAsia" w:ascii="仿宋" w:hAnsi="仿宋" w:eastAsia="仿宋" w:cs="仿宋"/>
          <w:b w:val="0"/>
          <w:bCs w:val="0"/>
          <w:sz w:val="32"/>
          <w:szCs w:val="32"/>
        </w:rPr>
        <w:t>份，自合同双方签字或盖章后生效。甲乙双方各执</w:t>
      </w:r>
      <w:r>
        <w:rPr>
          <w:rFonts w:hint="eastAsia" w:ascii="仿宋" w:hAnsi="仿宋" w:eastAsia="仿宋" w:cs="仿宋"/>
          <w:b w:val="0"/>
          <w:bCs w:val="0"/>
          <w:sz w:val="32"/>
          <w:szCs w:val="32"/>
          <w:lang w:val="en-US" w:eastAsia="zh-CN"/>
        </w:rPr>
        <w:t>贰</w:t>
      </w:r>
      <w:r>
        <w:rPr>
          <w:rFonts w:hint="eastAsia" w:ascii="仿宋" w:hAnsi="仿宋" w:eastAsia="仿宋" w:cs="仿宋"/>
          <w:b w:val="0"/>
          <w:bCs w:val="0"/>
          <w:sz w:val="32"/>
          <w:szCs w:val="32"/>
        </w:rPr>
        <w:t>份，具同等法律效力</w:t>
      </w:r>
      <w:r>
        <w:rPr>
          <w:rFonts w:hint="eastAsia" w:ascii="仿宋" w:hAnsi="仿宋" w:eastAsia="仿宋" w:cs="仿宋"/>
          <w:b w:val="0"/>
          <w:bCs w:val="0"/>
          <w:sz w:val="32"/>
          <w:szCs w:val="32"/>
          <w:lang w:eastAsia="zh-CN"/>
        </w:rPr>
        <w:t>。</w:t>
      </w:r>
    </w:p>
    <w:p w14:paraId="07AD1F4E">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附件：安全使用协议</w:t>
      </w:r>
    </w:p>
    <w:p w14:paraId="25C5913D">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p w14:paraId="23971027">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0C5A0081">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甲方(签章):</w:t>
      </w:r>
    </w:p>
    <w:p w14:paraId="438A3C63">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代表人：</w:t>
      </w:r>
    </w:p>
    <w:p w14:paraId="23460ABD">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4161F404">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乙方(签章):</w:t>
      </w:r>
    </w:p>
    <w:p w14:paraId="5D308563">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代表人：</w:t>
      </w:r>
    </w:p>
    <w:p w14:paraId="2FEB85A7">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31095FB5">
      <w:pPr>
        <w:keepNext w:val="0"/>
        <w:keepLines w:val="0"/>
        <w:pageBreakBefore w:val="0"/>
        <w:widowControl w:val="0"/>
        <w:kinsoku/>
        <w:wordWrap w:val="0"/>
        <w:overflowPunct/>
        <w:topLinePunct w:val="0"/>
        <w:autoSpaceDE/>
        <w:autoSpaceDN/>
        <w:bidi w:val="0"/>
        <w:adjustRightInd/>
        <w:ind w:firstLine="960" w:firstLineChars="300"/>
        <w:jc w:val="left"/>
        <w:textAlignment w:val="auto"/>
        <w:rPr>
          <w:rFonts w:hint="eastAsia" w:ascii="仿宋" w:hAnsi="仿宋" w:eastAsia="仿宋" w:cs="仿宋"/>
          <w:sz w:val="32"/>
          <w:szCs w:val="32"/>
        </w:rPr>
      </w:pPr>
      <w:r>
        <w:rPr>
          <w:rFonts w:hint="eastAsia" w:ascii="仿宋" w:hAnsi="仿宋" w:eastAsia="仿宋" w:cs="仿宋"/>
          <w:sz w:val="32"/>
          <w:szCs w:val="32"/>
        </w:rPr>
        <w:t>年    月   日</w:t>
      </w:r>
    </w:p>
    <w:p w14:paraId="182403C6">
      <w:pPr>
        <w:rPr>
          <w:rFonts w:hint="eastAsia" w:ascii="仿宋" w:hAnsi="仿宋" w:eastAsia="仿宋" w:cs="仿宋"/>
          <w:sz w:val="32"/>
          <w:szCs w:val="32"/>
        </w:rPr>
      </w:pPr>
      <w:r>
        <w:rPr>
          <w:rFonts w:hint="eastAsia" w:ascii="仿宋" w:hAnsi="仿宋" w:eastAsia="仿宋" w:cs="仿宋"/>
          <w:sz w:val="32"/>
          <w:szCs w:val="32"/>
        </w:rPr>
        <w:br w:type="page"/>
      </w:r>
    </w:p>
    <w:p w14:paraId="538D9C8B">
      <w:pPr>
        <w:keepNext w:val="0"/>
        <w:keepLines w:val="0"/>
        <w:pageBreakBefore w:val="0"/>
        <w:widowControl w:val="0"/>
        <w:kinsoku/>
        <w:wordWrap/>
        <w:overflowPunct/>
        <w:topLinePunct w:val="0"/>
        <w:autoSpaceDE/>
        <w:autoSpaceDN/>
        <w:bidi w:val="0"/>
        <w:adjustRightInd w:val="0"/>
        <w:snapToGrid w:val="0"/>
        <w:spacing w:line="600" w:lineRule="exact"/>
        <w:ind w:left="0"/>
        <w:jc w:val="center"/>
        <w:textAlignment w:val="bottom"/>
        <w:rPr>
          <w:rFonts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出租资产安全协议</w:t>
      </w:r>
    </w:p>
    <w:p w14:paraId="2D023772">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w:t>
      </w:r>
    </w:p>
    <w:p w14:paraId="25F3EDAC">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承租方：</w:t>
      </w:r>
    </w:p>
    <w:p w14:paraId="2A0D61E4">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7490BFC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一、安全责任</w:t>
      </w:r>
    </w:p>
    <w:p w14:paraId="73C2144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房屋（土地）承租方是所租赁房屋（土地）的安全全权责任人，负责该房屋（土地）及附属设施的安全责任。</w:t>
      </w:r>
    </w:p>
    <w:p w14:paraId="2F247FC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二、安全责任内容</w:t>
      </w:r>
    </w:p>
    <w:p w14:paraId="583FD4B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必须遵纪守法，消除重经营、轻安全的现象。严禁利用租赁房屋（土地）进行违法活动，不得出售假冒伪劣过期商品，不经营烟花、爆竹等易燃易爆物品，不从事麻将赌博等违法活动，严防火灾、爆炸、中毒、盗窃等事故和事件。租赁者必须服从上级执法部门统一管理，配合上级执法部门做好一切迎检活动。</w:t>
      </w:r>
    </w:p>
    <w:p w14:paraId="530AA16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（二）加强消防安全教育，提高消防安全常识。承租方必须按消防规定配足配齐灭火器材，懂得消防防火知识并会操作使用消防器材，消防设备必须有专人负责管理，提高自防自救能力。</w:t>
      </w:r>
    </w:p>
    <w:p w14:paraId="4416969E">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（三）保证安全通道畅通，严禁封闭、堵塞安全通道。餐饮业人员活动区域严禁存放易燃、可燃物品，不得存放易燃、易爆和有毒物品。</w:t>
      </w:r>
    </w:p>
    <w:p w14:paraId="061F88B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（四）用电线路安装必须规范，应使用国标电线及材料。严禁一线多用及乱接乱拉现象，定期检查线路安全情况，用电线路距离明火不得少于1.5米。</w:t>
      </w:r>
    </w:p>
    <w:p w14:paraId="4126D24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（五）必须具备应有的工商、税务、卫生、防疫和公安机关等相关手续；经营餐饮业必须持有营业执照、健康证明、卫生许可证、特行证等相关证照。</w:t>
      </w:r>
    </w:p>
    <w:p w14:paraId="5DA7B3D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六）定期向出租方报告安全情况。凡全面遵守《出租资产安全协议》规定的安全责任内容的，出租方将优先续租。凡未全面遵守《出租资产安全协议》规定的安全责任内容或对检查中发现的安全隐患不及时整改的承租者，应当承担违约责任，具体标准如下：</w:t>
      </w:r>
    </w:p>
    <w:p w14:paraId="559969F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w:t>
      </w:r>
      <w:r>
        <w:rPr>
          <w:rFonts w:ascii="仿宋_GB2312" w:hAnsi="仿宋" w:eastAsia="仿宋_GB2312"/>
          <w:color w:val="auto"/>
          <w:sz w:val="32"/>
          <w:szCs w:val="32"/>
          <w:lang w:eastAsia="zh-CN"/>
        </w:rPr>
        <w:t>发生一般事故两起的，支付违约金十万元；两起以上每增加一起另支付十万元。</w:t>
      </w:r>
    </w:p>
    <w:p w14:paraId="1353E40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2.发生较大事故的，支付违约金三十万元；每增加一起另支付三十万元。</w:t>
      </w:r>
    </w:p>
    <w:p w14:paraId="070DBDF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3.发生重大事故的，支付违约金七十万元；每增加一起另支付七十万元。</w:t>
      </w:r>
    </w:p>
    <w:p w14:paraId="6A4021A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4.发生特别重大事故的，支付违约金一百五十万元。每增加一起另支付一百五十万元。</w:t>
      </w:r>
    </w:p>
    <w:p w14:paraId="5017B22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且任意一项安全生产目标被突破甲方均有权解决合同，并由乙方根据租赁合同的约定承担合同解除的对应责任。</w:t>
      </w:r>
    </w:p>
    <w:p w14:paraId="7ECDDD88">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三、其他</w:t>
      </w:r>
    </w:p>
    <w:p w14:paraId="160D6B7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《出租资产安全协议》与《房屋（土地）租赁合同》具有同等效力，《出租资产安全协议》一式两份，出租方、承租方各一份。</w:t>
      </w:r>
    </w:p>
    <w:p w14:paraId="681EE54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p>
    <w:p w14:paraId="0E616149">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                             承租方：</w:t>
      </w:r>
    </w:p>
    <w:p w14:paraId="1F59E6CD">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（盖章）                            （盖章）</w:t>
      </w:r>
    </w:p>
    <w:p w14:paraId="320C9DA4">
      <w:pPr>
        <w:keepNext w:val="0"/>
        <w:keepLines w:val="0"/>
        <w:pageBreakBefore w:val="0"/>
        <w:kinsoku/>
        <w:wordWrap/>
        <w:overflowPunct/>
        <w:topLinePunct w:val="0"/>
        <w:autoSpaceDE/>
        <w:autoSpaceDN/>
        <w:bidi w:val="0"/>
        <w:adjustRightInd w:val="0"/>
        <w:snapToGrid w:val="0"/>
        <w:spacing w:line="560" w:lineRule="exact"/>
        <w:textAlignment w:val="bottom"/>
        <w:rPr>
          <w:rFonts w:ascii="仿宋" w:hAnsi="仿宋" w:eastAsia="仿宋" w:cs="仿宋"/>
          <w:color w:val="auto"/>
          <w:sz w:val="28"/>
          <w:szCs w:val="28"/>
          <w:lang w:eastAsia="zh-CN"/>
        </w:rPr>
      </w:pPr>
      <w:r>
        <w:rPr>
          <w:rFonts w:hint="eastAsia" w:ascii="仿宋_GB2312" w:hAnsi="仿宋" w:eastAsia="仿宋_GB2312"/>
          <w:color w:val="auto"/>
          <w:sz w:val="32"/>
          <w:szCs w:val="32"/>
          <w:lang w:eastAsia="zh-CN"/>
        </w:rPr>
        <w:t xml:space="preserve">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年   月    日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年   月    日</w:t>
      </w:r>
    </w:p>
    <w:p w14:paraId="094A733E">
      <w:pPr>
        <w:pStyle w:val="17"/>
        <w:keepNext w:val="0"/>
        <w:keepLines w:val="0"/>
        <w:pageBreakBefore w:val="0"/>
        <w:kinsoku/>
        <w:wordWrap/>
        <w:overflowPunct/>
        <w:topLinePunct w:val="0"/>
        <w:autoSpaceDE/>
        <w:autoSpaceDN/>
        <w:bidi w:val="0"/>
        <w:spacing w:line="560" w:lineRule="exact"/>
        <w:ind w:left="0" w:leftChars="0" w:firstLine="0" w:firstLineChars="0"/>
        <w:textAlignment w:val="bottom"/>
        <w:rPr>
          <w:rFonts w:hint="default" w:ascii="仿宋_GB2312" w:hAnsi="仿宋_GB2312" w:eastAsia="仿宋_GB2312" w:cs="仿宋_GB2312"/>
          <w:sz w:val="32"/>
          <w:szCs w:val="32"/>
          <w:lang w:val="en-US" w:eastAsia="zh-CN"/>
        </w:rPr>
      </w:pPr>
    </w:p>
    <w:p w14:paraId="25245EA0"/>
    <w:p w14:paraId="4BDBE4DD">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hint="eastAsia" w:ascii="仿宋_GB2312" w:hAnsi="仿宋_GB2312" w:eastAsia="仿宋_GB2312"/>
          <w:b/>
          <w:sz w:val="4"/>
          <w:u w:val="single"/>
        </w:rPr>
      </w:pPr>
    </w:p>
    <w:p w14:paraId="109965AC">
      <w:pPr>
        <w:spacing w:before="50" w:after="50" w:line="480" w:lineRule="exact"/>
        <w:jc w:val="cente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方正小标宋简体">
    <w:altName w:val="黑体"/>
    <w:panose1 w:val="03000509000000000000"/>
    <w:charset w:val="86"/>
    <w:family w:val="script"/>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0A83AD0"/>
    <w:rsid w:val="00B2005C"/>
    <w:rsid w:val="00B5413C"/>
    <w:rsid w:val="00EE25E8"/>
    <w:rsid w:val="03457F4D"/>
    <w:rsid w:val="04425FE9"/>
    <w:rsid w:val="04502AFF"/>
    <w:rsid w:val="05D92456"/>
    <w:rsid w:val="06755150"/>
    <w:rsid w:val="068E7E43"/>
    <w:rsid w:val="06C00C55"/>
    <w:rsid w:val="06FA2237"/>
    <w:rsid w:val="078C6EA6"/>
    <w:rsid w:val="08074BF6"/>
    <w:rsid w:val="08AF5C17"/>
    <w:rsid w:val="08B55A9A"/>
    <w:rsid w:val="09C474A0"/>
    <w:rsid w:val="0AAA4978"/>
    <w:rsid w:val="0B690F28"/>
    <w:rsid w:val="0C2A1F61"/>
    <w:rsid w:val="0CA57A5D"/>
    <w:rsid w:val="0DF45AE2"/>
    <w:rsid w:val="0E344BF5"/>
    <w:rsid w:val="0E935BFE"/>
    <w:rsid w:val="115347DA"/>
    <w:rsid w:val="11654CEF"/>
    <w:rsid w:val="12503FC7"/>
    <w:rsid w:val="14A70543"/>
    <w:rsid w:val="15EC3809"/>
    <w:rsid w:val="16571DC8"/>
    <w:rsid w:val="173122BD"/>
    <w:rsid w:val="18925339"/>
    <w:rsid w:val="19A153C7"/>
    <w:rsid w:val="1A22584D"/>
    <w:rsid w:val="1AE91E9E"/>
    <w:rsid w:val="1B733D66"/>
    <w:rsid w:val="1D24052A"/>
    <w:rsid w:val="1DA43B34"/>
    <w:rsid w:val="20301191"/>
    <w:rsid w:val="211A411E"/>
    <w:rsid w:val="21F52D2D"/>
    <w:rsid w:val="222A0391"/>
    <w:rsid w:val="224F60AB"/>
    <w:rsid w:val="245076FF"/>
    <w:rsid w:val="247E3479"/>
    <w:rsid w:val="24D665AE"/>
    <w:rsid w:val="26EB3E67"/>
    <w:rsid w:val="276B0075"/>
    <w:rsid w:val="27E134C6"/>
    <w:rsid w:val="28051B4F"/>
    <w:rsid w:val="28B44BC4"/>
    <w:rsid w:val="28E17D1E"/>
    <w:rsid w:val="2D76092E"/>
    <w:rsid w:val="2DFE26D1"/>
    <w:rsid w:val="2EDE2C2F"/>
    <w:rsid w:val="2EEB7445"/>
    <w:rsid w:val="3071362F"/>
    <w:rsid w:val="32E5541C"/>
    <w:rsid w:val="375B2943"/>
    <w:rsid w:val="385201EA"/>
    <w:rsid w:val="398A12C3"/>
    <w:rsid w:val="3A231E3E"/>
    <w:rsid w:val="3A371445"/>
    <w:rsid w:val="3CC13740"/>
    <w:rsid w:val="3CC82742"/>
    <w:rsid w:val="3DD877E7"/>
    <w:rsid w:val="3E1A3557"/>
    <w:rsid w:val="3F782104"/>
    <w:rsid w:val="3FF16AF1"/>
    <w:rsid w:val="410E414B"/>
    <w:rsid w:val="41DF4BEC"/>
    <w:rsid w:val="44B352D2"/>
    <w:rsid w:val="451C5E07"/>
    <w:rsid w:val="461E0BEE"/>
    <w:rsid w:val="46214662"/>
    <w:rsid w:val="47B80ED9"/>
    <w:rsid w:val="47CC4C7E"/>
    <w:rsid w:val="484C07B1"/>
    <w:rsid w:val="48C651E6"/>
    <w:rsid w:val="4A196FDF"/>
    <w:rsid w:val="4A2A21C5"/>
    <w:rsid w:val="4A69389D"/>
    <w:rsid w:val="4C8A0B18"/>
    <w:rsid w:val="4E4C1D55"/>
    <w:rsid w:val="4E4D5343"/>
    <w:rsid w:val="4F132029"/>
    <w:rsid w:val="504D156B"/>
    <w:rsid w:val="50BF5CCD"/>
    <w:rsid w:val="50D15CF8"/>
    <w:rsid w:val="51064B72"/>
    <w:rsid w:val="520115EE"/>
    <w:rsid w:val="52A5743C"/>
    <w:rsid w:val="52D3730D"/>
    <w:rsid w:val="533E387A"/>
    <w:rsid w:val="588767A0"/>
    <w:rsid w:val="5A566F12"/>
    <w:rsid w:val="5D4F6922"/>
    <w:rsid w:val="5DF300E3"/>
    <w:rsid w:val="5F9E593F"/>
    <w:rsid w:val="5FDE7C96"/>
    <w:rsid w:val="60DD0FD5"/>
    <w:rsid w:val="652C579B"/>
    <w:rsid w:val="65681E7A"/>
    <w:rsid w:val="65A11057"/>
    <w:rsid w:val="668A66FA"/>
    <w:rsid w:val="68822739"/>
    <w:rsid w:val="693B781C"/>
    <w:rsid w:val="6B76151E"/>
    <w:rsid w:val="6CF03552"/>
    <w:rsid w:val="6CFC68D7"/>
    <w:rsid w:val="6D4773E3"/>
    <w:rsid w:val="6E0B0643"/>
    <w:rsid w:val="6E0D28A7"/>
    <w:rsid w:val="6E2A4841"/>
    <w:rsid w:val="6E3851B0"/>
    <w:rsid w:val="6F0F5F11"/>
    <w:rsid w:val="6F141779"/>
    <w:rsid w:val="7034778D"/>
    <w:rsid w:val="70C25205"/>
    <w:rsid w:val="70D867D7"/>
    <w:rsid w:val="711A3174"/>
    <w:rsid w:val="722F459F"/>
    <w:rsid w:val="730668DC"/>
    <w:rsid w:val="75297601"/>
    <w:rsid w:val="755B4AEE"/>
    <w:rsid w:val="75796F4B"/>
    <w:rsid w:val="78230C03"/>
    <w:rsid w:val="79A100AE"/>
    <w:rsid w:val="79DB010B"/>
    <w:rsid w:val="7CF624BE"/>
    <w:rsid w:val="7D4F6073"/>
    <w:rsid w:val="7DE80F02"/>
    <w:rsid w:val="7DF86C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1">
    <w:name w:val="Default Paragraph Font"/>
    <w:autoRedefine/>
    <w:semiHidden/>
    <w:qFormat/>
    <w:uiPriority w:val="0"/>
  </w:style>
  <w:style w:type="table" w:default="1" w:styleId="9">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Block Text"/>
    <w:basedOn w:val="1"/>
    <w:qFormat/>
    <w:uiPriority w:val="0"/>
    <w:pPr>
      <w:ind w:left="-899" w:leftChars="-428" w:right="-693" w:rightChars="-330" w:firstLine="420" w:firstLineChars="200"/>
    </w:p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8">
    <w:name w:val="Normal (Web)"/>
    <w:basedOn w:val="1"/>
    <w:autoRedefine/>
    <w:qFormat/>
    <w:uiPriority w:val="0"/>
    <w:pPr>
      <w:spacing w:beforeAutospacing="1" w:afterAutospacing="1"/>
      <w:jc w:val="left"/>
    </w:pPr>
    <w:rPr>
      <w:rFonts w:ascii="Calibri" w:hAnsi="Calibri" w:eastAsia="宋体"/>
      <w:kern w:val="0"/>
      <w:sz w:val="24"/>
      <w:szCs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qFormat/>
    <w:uiPriority w:val="0"/>
  </w:style>
  <w:style w:type="paragraph" w:customStyle="1" w:styleId="13">
    <w:name w:val="正文缩进1"/>
    <w:basedOn w:val="1"/>
    <w:qFormat/>
    <w:uiPriority w:val="0"/>
    <w:pPr>
      <w:ind w:firstLine="420" w:firstLineChars="200"/>
    </w:pPr>
    <w:rPr>
      <w:rFonts w:eastAsia="宋体"/>
    </w:rPr>
  </w:style>
  <w:style w:type="paragraph" w:customStyle="1" w:styleId="14">
    <w:name w:val="List Paragraph"/>
    <w:basedOn w:val="1"/>
    <w:autoRedefine/>
    <w:qFormat/>
    <w:uiPriority w:val="0"/>
    <w:pPr>
      <w:ind w:firstLine="420" w:firstLineChars="200"/>
    </w:pPr>
    <w:rPr>
      <w:rFonts w:ascii="Calibri" w:hAnsi="Calibri"/>
      <w:szCs w:val="22"/>
    </w:rPr>
  </w:style>
  <w:style w:type="paragraph" w:customStyle="1" w:styleId="15">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6">
    <w:name w:val="p0"/>
    <w:basedOn w:val="1"/>
    <w:autoRedefine/>
    <w:unhideWhenUsed/>
    <w:qFormat/>
    <w:uiPriority w:val="99"/>
    <w:pPr>
      <w:widowControl/>
    </w:pPr>
    <w:rPr>
      <w:rFonts w:hint="eastAsia"/>
    </w:rPr>
  </w:style>
  <w:style w:type="paragraph" w:customStyle="1" w:styleId="17">
    <w:name w:val="Char"/>
    <w:basedOn w:val="1"/>
    <w:qFormat/>
    <w:uiPriority w:val="0"/>
    <w:rPr>
      <w:rFonts w:ascii="Times New Roman" w:hAnsi="Times New Roman" w:eastAsia="宋体"/>
      <w:sz w:val="21"/>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7466</Words>
  <Characters>7868</Characters>
  <Lines>0</Lines>
  <Paragraphs>0</Paragraphs>
  <TotalTime>1</TotalTime>
  <ScaleCrop>false</ScaleCrop>
  <LinksUpToDate>false</LinksUpToDate>
  <CharactersWithSpaces>8228</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大象滑滑梯</cp:lastModifiedBy>
  <dcterms:modified xsi:type="dcterms:W3CDTF">2025-10-24T00:57:03Z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D286F571AB1E4A0CA7FF948556377CE1</vt:lpwstr>
  </property>
  <property fmtid="{D5CDD505-2E9C-101B-9397-08002B2CF9AE}" pid="4" name="KSOTemplateDocerSaveRecord">
    <vt:lpwstr>eyJoZGlkIjoiYzQ3MzJmODVmNmFlYzI4OWVkNzBmYTBkOTQxYjNlOTEiLCJ1c2VySWQiOiIzNTgyOTgzMzAifQ==</vt:lpwstr>
  </property>
</Properties>
</file>